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BC7" w:rsidRPr="002F0657" w:rsidRDefault="00CB6BC7" w:rsidP="00714AC1">
      <w:pPr>
        <w:pStyle w:val="Breakpage"/>
      </w:pPr>
    </w:p>
    <w:p w:rsidR="00CB6BC7" w:rsidRPr="002F0657" w:rsidRDefault="00CB6BC7" w:rsidP="00714AC1">
      <w:pPr>
        <w:pStyle w:val="Breakpage"/>
      </w:pPr>
    </w:p>
    <w:p w:rsidR="00CB6BC7" w:rsidRPr="002F0657" w:rsidRDefault="00CB6BC7" w:rsidP="00714AC1">
      <w:pPr>
        <w:pStyle w:val="Breakpage"/>
      </w:pPr>
    </w:p>
    <w:p w:rsidR="00CB6BC7" w:rsidRPr="002F0657" w:rsidRDefault="00CB6BC7" w:rsidP="00714AC1">
      <w:pPr>
        <w:pStyle w:val="Breakpage"/>
      </w:pPr>
    </w:p>
    <w:p w:rsidR="00CB6BC7" w:rsidRPr="002F0657" w:rsidRDefault="00CB6BC7" w:rsidP="00714AC1">
      <w:pPr>
        <w:pStyle w:val="Breakpage"/>
      </w:pPr>
    </w:p>
    <w:p w:rsidR="00CB6BC7" w:rsidRPr="002F0657" w:rsidRDefault="00CB6BC7" w:rsidP="00714AC1">
      <w:pPr>
        <w:pStyle w:val="Breakpage"/>
      </w:pPr>
      <w:r w:rsidRPr="002F0657">
        <w:t>Experience of Care</w:t>
      </w:r>
    </w:p>
    <w:p w:rsidR="00CB6BC7" w:rsidRPr="002F0657" w:rsidRDefault="00CB6BC7" w:rsidP="00714AC1">
      <w:pPr>
        <w:pStyle w:val="Breakpage"/>
        <w:sectPr w:rsidR="00CB6BC7" w:rsidRPr="002F0657" w:rsidSect="00A70734">
          <w:headerReference w:type="first" r:id="rId11"/>
          <w:footerReference w:type="first" r:id="rId12"/>
          <w:type w:val="oddPage"/>
          <w:pgSz w:w="12240" w:h="15840" w:code="1"/>
          <w:pgMar w:top="1080" w:right="1080" w:bottom="1080" w:left="1440" w:header="720" w:footer="720" w:gutter="0"/>
          <w:pgNumType w:start="46"/>
          <w:cols w:space="720"/>
        </w:sectPr>
      </w:pPr>
    </w:p>
    <w:p w:rsidR="00CB6BC7" w:rsidRPr="002F0657" w:rsidRDefault="00CB6BC7" w:rsidP="00CB6BC7"/>
    <w:p w:rsidR="00CB6BC7" w:rsidRPr="002F0657" w:rsidRDefault="00CB6BC7" w:rsidP="00CB6BC7">
      <w:pPr>
        <w:sectPr w:rsidR="00CB6BC7" w:rsidRPr="002F0657" w:rsidSect="003C7BFE">
          <w:headerReference w:type="even" r:id="rId13"/>
          <w:footerReference w:type="even" r:id="rId14"/>
          <w:pgSz w:w="12240" w:h="15840" w:code="1"/>
          <w:pgMar w:top="1080" w:right="1080" w:bottom="1080" w:left="1440" w:header="720" w:footer="720" w:gutter="0"/>
          <w:pgNumType w:start="48"/>
          <w:cols w:space="720"/>
        </w:sectPr>
      </w:pPr>
    </w:p>
    <w:p w:rsidR="00CB6BC7" w:rsidRPr="002F0657" w:rsidRDefault="00CB6BC7" w:rsidP="00A82C61">
      <w:pPr>
        <w:pStyle w:val="Heading1"/>
        <w:rPr>
          <w:rFonts w:cs="Arial"/>
          <w:i/>
          <w:sz w:val="28"/>
        </w:rPr>
      </w:pPr>
      <w:r w:rsidRPr="002F0657">
        <w:rPr>
          <w:rFonts w:cs="Arial"/>
          <w:i/>
          <w:sz w:val="28"/>
        </w:rPr>
        <w:lastRenderedPageBreak/>
        <w:t xml:space="preserve">CAHPS Health Plan Survey </w:t>
      </w:r>
      <w:r w:rsidR="004554D8" w:rsidRPr="002F0657">
        <w:rPr>
          <w:rFonts w:cs="Arial"/>
          <w:i/>
          <w:sz w:val="28"/>
        </w:rPr>
        <w:t>5</w:t>
      </w:r>
      <w:r w:rsidRPr="002F0657">
        <w:rPr>
          <w:rFonts w:cs="Arial"/>
          <w:i/>
          <w:sz w:val="28"/>
        </w:rPr>
        <w:t>.0H, Adult Version (CPA)</w:t>
      </w:r>
    </w:p>
    <w:p w:rsidR="00CB6BC7" w:rsidRPr="002F0657" w:rsidRDefault="00CB6BC7" w:rsidP="00A82C61">
      <w:pPr>
        <w:pStyle w:val="HEDISSOC"/>
        <w:rPr>
          <w:i/>
        </w:rPr>
      </w:pPr>
      <w:r w:rsidRPr="002F0657">
        <w:t xml:space="preserve">Summary of Changes to HEDIS </w:t>
      </w:r>
      <w:r w:rsidR="004554D8" w:rsidRPr="002F0657">
        <w:t>2013</w:t>
      </w:r>
    </w:p>
    <w:p w:rsidR="00CB3255" w:rsidRDefault="007D0CA5" w:rsidP="007D0CA5">
      <w:pPr>
        <w:pStyle w:val="ProcessBullet"/>
        <w:spacing w:before="180"/>
      </w:pPr>
      <w:r w:rsidRPr="002F0657">
        <w:t xml:space="preserve">Updated the survey questionnaire </w:t>
      </w:r>
      <w:r w:rsidR="00B71DC0" w:rsidRPr="002F0657">
        <w:t xml:space="preserve">from version 4.0H </w:t>
      </w:r>
      <w:r w:rsidRPr="002F0657">
        <w:t>to version 5.0H. Revisions include changes to the number, order and wording of survey questions</w:t>
      </w:r>
      <w:r w:rsidR="00BF6341">
        <w:t>, as well as the following changes to ratings and composites</w:t>
      </w:r>
      <w:r w:rsidR="00CB3255">
        <w:t>.</w:t>
      </w:r>
    </w:p>
    <w:p w:rsidR="00BF6341" w:rsidRDefault="00BF6341" w:rsidP="00BF6341">
      <w:pPr>
        <w:pStyle w:val="ProcessDash"/>
        <w:tabs>
          <w:tab w:val="clear" w:pos="432"/>
        </w:tabs>
      </w:pPr>
      <w:r>
        <w:t xml:space="preserve">Revised </w:t>
      </w:r>
      <w:r w:rsidRPr="00BF6341">
        <w:rPr>
          <w:i/>
        </w:rPr>
        <w:t>Rating of Specialist Seen Most Often</w:t>
      </w:r>
      <w:r>
        <w:t>; minor wording change is not expected to impact trending.</w:t>
      </w:r>
    </w:p>
    <w:p w:rsidR="00BF6341" w:rsidRDefault="00BF6341" w:rsidP="00BF6341">
      <w:pPr>
        <w:pStyle w:val="ProcessDash"/>
        <w:tabs>
          <w:tab w:val="clear" w:pos="432"/>
        </w:tabs>
      </w:pPr>
      <w:r w:rsidRPr="002F0657">
        <w:t xml:space="preserve">Revised </w:t>
      </w:r>
      <w:r w:rsidRPr="00BF6341">
        <w:rPr>
          <w:i/>
        </w:rPr>
        <w:t>Health Education and Promotion</w:t>
      </w:r>
      <w:r w:rsidRPr="002F0657">
        <w:t xml:space="preserve"> </w:t>
      </w:r>
      <w:r>
        <w:t>question wording and response choices; impacts on trending are expected.</w:t>
      </w:r>
    </w:p>
    <w:p w:rsidR="00BF6341" w:rsidRDefault="00BF6341" w:rsidP="00BF6341">
      <w:pPr>
        <w:pStyle w:val="ProcessDash"/>
        <w:tabs>
          <w:tab w:val="clear" w:pos="432"/>
        </w:tabs>
      </w:pPr>
      <w:r>
        <w:t xml:space="preserve">Revised </w:t>
      </w:r>
      <w:r w:rsidRPr="00BF6341">
        <w:rPr>
          <w:i/>
        </w:rPr>
        <w:t>Getting Needed Care</w:t>
      </w:r>
      <w:r w:rsidR="00ED748B">
        <w:rPr>
          <w:i/>
        </w:rPr>
        <w:t xml:space="preserve"> </w:t>
      </w:r>
      <w:r w:rsidR="00ED748B" w:rsidRPr="00ED748B">
        <w:t>composite</w:t>
      </w:r>
      <w:r>
        <w:t xml:space="preserve">; wording changes not expected to impact trending. </w:t>
      </w:r>
    </w:p>
    <w:p w:rsidR="00BF6341" w:rsidRDefault="00BF6341" w:rsidP="00BF6341">
      <w:pPr>
        <w:pStyle w:val="ProcessDash"/>
        <w:tabs>
          <w:tab w:val="clear" w:pos="432"/>
        </w:tabs>
      </w:pPr>
      <w:r>
        <w:t xml:space="preserve">Revised </w:t>
      </w:r>
      <w:r w:rsidRPr="00BF6341">
        <w:rPr>
          <w:i/>
        </w:rPr>
        <w:t>Getting Care Quickly</w:t>
      </w:r>
      <w:r w:rsidR="00ED748B">
        <w:rPr>
          <w:i/>
        </w:rPr>
        <w:t xml:space="preserve"> </w:t>
      </w:r>
      <w:r w:rsidR="00ED748B" w:rsidRPr="00ED748B">
        <w:t>composite</w:t>
      </w:r>
      <w:r>
        <w:t>; wording changes not expected to impact trending.</w:t>
      </w:r>
    </w:p>
    <w:p w:rsidR="00ED748B" w:rsidRPr="002F0657" w:rsidRDefault="00ED748B" w:rsidP="00BF6341">
      <w:pPr>
        <w:pStyle w:val="ProcessDash"/>
        <w:tabs>
          <w:tab w:val="clear" w:pos="432"/>
        </w:tabs>
      </w:pPr>
      <w:r>
        <w:t>Revised Shared Decision Making composite; added one question and significantly altered the existing questions and response choices. Impacts on trending are expected.</w:t>
      </w:r>
    </w:p>
    <w:p w:rsidR="00BF6341" w:rsidRDefault="005405AC" w:rsidP="007D0CA5">
      <w:pPr>
        <w:pStyle w:val="ProcessBullet"/>
        <w:spacing w:before="180"/>
      </w:pPr>
      <w:r>
        <w:t>Added reminder postcards to the data collection protocol.</w:t>
      </w:r>
    </w:p>
    <w:p w:rsidR="00210150" w:rsidRPr="008A0FA0" w:rsidRDefault="00210150" w:rsidP="00A347B7">
      <w:pPr>
        <w:pStyle w:val="Note"/>
        <w:rPr>
          <w:b/>
        </w:rPr>
      </w:pPr>
      <w:r w:rsidRPr="00183420">
        <w:rPr>
          <w:b/>
        </w:rPr>
        <w:t xml:space="preserve">Note: </w:t>
      </w:r>
      <w:r w:rsidR="00A347B7">
        <w:t xml:space="preserve">As a result of </w:t>
      </w:r>
      <w:r w:rsidRPr="008A0FA0">
        <w:t xml:space="preserve">significant specification changes, NCQA will not publicly report </w:t>
      </w:r>
      <w:r>
        <w:t xml:space="preserve">results for </w:t>
      </w:r>
      <w:r w:rsidRPr="008A0FA0">
        <w:t>Health Education and Promotion</w:t>
      </w:r>
      <w:r>
        <w:t xml:space="preserve"> or </w:t>
      </w:r>
      <w:r w:rsidRPr="008A0FA0">
        <w:t xml:space="preserve">Shared Decision Making </w:t>
      </w:r>
      <w:r>
        <w:t>in</w:t>
      </w:r>
      <w:r w:rsidRPr="008A0FA0">
        <w:t xml:space="preserve"> HEDIS 2013.</w:t>
      </w:r>
    </w:p>
    <w:p w:rsidR="00CB6BC7" w:rsidRPr="002F0657" w:rsidRDefault="00CB6BC7" w:rsidP="00CB6BC7">
      <w:pPr>
        <w:pStyle w:val="StdHead"/>
        <w:rPr>
          <w:color w:val="auto"/>
        </w:rPr>
      </w:pPr>
      <w:r w:rsidRPr="002F0657">
        <w:rPr>
          <w:color w:val="auto"/>
        </w:rPr>
        <w:t xml:space="preserve">Description </w:t>
      </w:r>
    </w:p>
    <w:p w:rsidR="00CB6BC7" w:rsidRPr="002F0657" w:rsidRDefault="00CB6BC7" w:rsidP="00CB6BC7">
      <w:pPr>
        <w:pStyle w:val="Body"/>
      </w:pPr>
      <w:r w:rsidRPr="002F0657">
        <w:t xml:space="preserve">This survey provides information on the experiences of commercial and Medicaid members with the health plan and gives a general indication of how well the health plan meets members’ expectations. Results summarize member </w:t>
      </w:r>
      <w:r w:rsidR="005229B0" w:rsidRPr="002F0657">
        <w:t xml:space="preserve">experiences </w:t>
      </w:r>
      <w:r w:rsidRPr="002F0657">
        <w:t>through ratings, composites and question summary rates.</w:t>
      </w:r>
    </w:p>
    <w:p w:rsidR="00CB6BC7" w:rsidRPr="002F0657" w:rsidRDefault="00CB6BC7" w:rsidP="00CB6BC7">
      <w:pPr>
        <w:pStyle w:val="Body"/>
      </w:pPr>
      <w:r w:rsidRPr="002F0657">
        <w:t>Four global rating questio</w:t>
      </w:r>
      <w:r w:rsidR="00BA1BAC" w:rsidRPr="002F0657">
        <w:t>ns reflect overall satisfaction:</w:t>
      </w:r>
    </w:p>
    <w:p w:rsidR="00CB6BC7" w:rsidRPr="002F0657" w:rsidRDefault="00CB6BC7" w:rsidP="00CB6BC7">
      <w:pPr>
        <w:pStyle w:val="Bullet"/>
        <w:numPr>
          <w:ilvl w:val="0"/>
          <w:numId w:val="9"/>
        </w:numPr>
        <w:tabs>
          <w:tab w:val="clear" w:pos="1080"/>
        </w:tabs>
        <w:ind w:left="648" w:hanging="288"/>
      </w:pPr>
      <w:r w:rsidRPr="002F0657">
        <w:t>Rating of All Health Care</w:t>
      </w:r>
      <w:r w:rsidR="00BA1BAC" w:rsidRPr="002F0657">
        <w:t>.</w:t>
      </w:r>
    </w:p>
    <w:p w:rsidR="00CB6BC7" w:rsidRPr="002F0657" w:rsidRDefault="00CB6BC7" w:rsidP="00CB6BC7">
      <w:pPr>
        <w:pStyle w:val="Bullet"/>
        <w:numPr>
          <w:ilvl w:val="0"/>
          <w:numId w:val="9"/>
        </w:numPr>
        <w:tabs>
          <w:tab w:val="clear" w:pos="1080"/>
        </w:tabs>
        <w:ind w:left="648" w:hanging="288"/>
      </w:pPr>
      <w:r w:rsidRPr="002F0657">
        <w:t>Rating of Personal Doctor</w:t>
      </w:r>
      <w:r w:rsidR="00BA1BAC" w:rsidRPr="002F0657">
        <w:t>.</w:t>
      </w:r>
    </w:p>
    <w:p w:rsidR="00CB6BC7" w:rsidRPr="002F0657" w:rsidRDefault="00CB6BC7" w:rsidP="00CB6BC7">
      <w:pPr>
        <w:pStyle w:val="Bullet"/>
        <w:numPr>
          <w:ilvl w:val="0"/>
          <w:numId w:val="9"/>
        </w:numPr>
        <w:tabs>
          <w:tab w:val="clear" w:pos="1080"/>
        </w:tabs>
        <w:ind w:left="648" w:hanging="288"/>
      </w:pPr>
      <w:r w:rsidRPr="002F0657">
        <w:t>Rating of Specialist Seen Most Often</w:t>
      </w:r>
      <w:r w:rsidR="00BA1BAC" w:rsidRPr="002F0657">
        <w:t>.</w:t>
      </w:r>
    </w:p>
    <w:p w:rsidR="00CB6BC7" w:rsidRPr="002F0657" w:rsidRDefault="00CB6BC7" w:rsidP="00CB6BC7">
      <w:pPr>
        <w:pStyle w:val="Bullet"/>
        <w:numPr>
          <w:ilvl w:val="0"/>
          <w:numId w:val="9"/>
        </w:numPr>
        <w:tabs>
          <w:tab w:val="clear" w:pos="1080"/>
        </w:tabs>
        <w:ind w:left="648" w:hanging="288"/>
      </w:pPr>
      <w:r w:rsidRPr="002F0657">
        <w:t>Rating of Health Plan</w:t>
      </w:r>
      <w:r w:rsidR="00BA1BAC" w:rsidRPr="002F0657">
        <w:t>.</w:t>
      </w:r>
    </w:p>
    <w:p w:rsidR="00CB6BC7" w:rsidRPr="002F0657" w:rsidRDefault="00CB6BC7" w:rsidP="00CB6BC7">
      <w:pPr>
        <w:pStyle w:val="Body"/>
      </w:pPr>
      <w:r w:rsidRPr="002F0657">
        <w:t>Seven composite scores s</w:t>
      </w:r>
      <w:r w:rsidR="00BA1BAC" w:rsidRPr="002F0657">
        <w:t>ummarize responses in key areas:</w:t>
      </w:r>
    </w:p>
    <w:p w:rsidR="00CB6BC7" w:rsidRPr="002F0657" w:rsidRDefault="00CB6BC7" w:rsidP="00CB6BC7">
      <w:pPr>
        <w:pStyle w:val="Bullet"/>
        <w:numPr>
          <w:ilvl w:val="0"/>
          <w:numId w:val="15"/>
        </w:numPr>
        <w:tabs>
          <w:tab w:val="clear" w:pos="1080"/>
        </w:tabs>
        <w:ind w:left="648" w:hanging="288"/>
        <w:rPr>
          <w:i/>
          <w:iCs/>
        </w:rPr>
      </w:pPr>
      <w:r w:rsidRPr="002F0657">
        <w:t xml:space="preserve">Claims Processing </w:t>
      </w:r>
      <w:r w:rsidRPr="002F0657">
        <w:rPr>
          <w:i/>
          <w:iCs/>
        </w:rPr>
        <w:t>(commercial only)</w:t>
      </w:r>
      <w:r w:rsidR="00BA1BAC" w:rsidRPr="002F0657">
        <w:rPr>
          <w:i/>
          <w:iCs/>
        </w:rPr>
        <w:t>.</w:t>
      </w:r>
    </w:p>
    <w:p w:rsidR="00CB6BC7" w:rsidRPr="002F0657" w:rsidRDefault="00CB6BC7" w:rsidP="00CB6BC7">
      <w:pPr>
        <w:pStyle w:val="Bullet"/>
        <w:numPr>
          <w:ilvl w:val="0"/>
          <w:numId w:val="15"/>
        </w:numPr>
        <w:tabs>
          <w:tab w:val="clear" w:pos="1080"/>
        </w:tabs>
        <w:ind w:left="648" w:hanging="288"/>
      </w:pPr>
      <w:r w:rsidRPr="002F0657">
        <w:t>Customer Service</w:t>
      </w:r>
      <w:r w:rsidR="00BA1BAC" w:rsidRPr="002F0657">
        <w:t>.</w:t>
      </w:r>
    </w:p>
    <w:p w:rsidR="00CB6BC7" w:rsidRPr="002F0657" w:rsidRDefault="00CB6BC7" w:rsidP="00CB6BC7">
      <w:pPr>
        <w:pStyle w:val="Bullet"/>
        <w:numPr>
          <w:ilvl w:val="0"/>
          <w:numId w:val="15"/>
        </w:numPr>
        <w:tabs>
          <w:tab w:val="clear" w:pos="1080"/>
        </w:tabs>
        <w:ind w:left="648" w:hanging="288"/>
      </w:pPr>
      <w:r w:rsidRPr="002F0657">
        <w:t>Getting Care Quickly</w:t>
      </w:r>
      <w:r w:rsidR="00BA1BAC" w:rsidRPr="002F0657">
        <w:t>.</w:t>
      </w:r>
    </w:p>
    <w:p w:rsidR="00CB6BC7" w:rsidRPr="002F0657" w:rsidRDefault="00CB6BC7" w:rsidP="00CB6BC7">
      <w:pPr>
        <w:pStyle w:val="Bullet"/>
        <w:numPr>
          <w:ilvl w:val="0"/>
          <w:numId w:val="15"/>
        </w:numPr>
        <w:tabs>
          <w:tab w:val="clear" w:pos="1080"/>
        </w:tabs>
        <w:ind w:left="648" w:hanging="288"/>
      </w:pPr>
      <w:r w:rsidRPr="002F0657">
        <w:t>Getting Needed Care</w:t>
      </w:r>
      <w:r w:rsidR="00BA1BAC" w:rsidRPr="002F0657">
        <w:t>.</w:t>
      </w:r>
    </w:p>
    <w:p w:rsidR="00CB6BC7" w:rsidRPr="002F0657" w:rsidRDefault="00CB6BC7" w:rsidP="00CB6BC7">
      <w:pPr>
        <w:pStyle w:val="Bullet"/>
        <w:numPr>
          <w:ilvl w:val="0"/>
          <w:numId w:val="15"/>
        </w:numPr>
        <w:tabs>
          <w:tab w:val="clear" w:pos="1080"/>
        </w:tabs>
        <w:ind w:left="648" w:hanging="288"/>
      </w:pPr>
      <w:r w:rsidRPr="002F0657">
        <w:t>How Well Doctors Communicate</w:t>
      </w:r>
      <w:r w:rsidR="00BA1BAC" w:rsidRPr="002F0657">
        <w:t>.</w:t>
      </w:r>
    </w:p>
    <w:p w:rsidR="00CB6BC7" w:rsidRPr="002F0657" w:rsidRDefault="00CB6BC7" w:rsidP="00CB6BC7">
      <w:pPr>
        <w:pStyle w:val="Bullet"/>
        <w:numPr>
          <w:ilvl w:val="0"/>
          <w:numId w:val="15"/>
        </w:numPr>
        <w:tabs>
          <w:tab w:val="clear" w:pos="1080"/>
        </w:tabs>
        <w:ind w:left="648" w:hanging="288"/>
      </w:pPr>
      <w:r w:rsidRPr="002F0657">
        <w:t>Shared Decision Making</w:t>
      </w:r>
      <w:r w:rsidR="00BA1BAC" w:rsidRPr="002F0657">
        <w:t>.</w:t>
      </w:r>
    </w:p>
    <w:p w:rsidR="00CB6BC7" w:rsidRPr="002F0657" w:rsidRDefault="00CB6BC7" w:rsidP="00CB6BC7">
      <w:pPr>
        <w:pStyle w:val="Bullet"/>
        <w:numPr>
          <w:ilvl w:val="0"/>
          <w:numId w:val="15"/>
        </w:numPr>
        <w:tabs>
          <w:tab w:val="clear" w:pos="1080"/>
        </w:tabs>
        <w:ind w:left="648" w:hanging="288"/>
        <w:rPr>
          <w:i/>
          <w:iCs/>
        </w:rPr>
      </w:pPr>
      <w:r w:rsidRPr="002F0657">
        <w:t xml:space="preserve">Plan Information on Costs </w:t>
      </w:r>
      <w:r w:rsidRPr="002F0657">
        <w:rPr>
          <w:i/>
          <w:iCs/>
        </w:rPr>
        <w:t>(commercial only)</w:t>
      </w:r>
      <w:r w:rsidR="00F05108">
        <w:rPr>
          <w:i/>
          <w:iCs/>
        </w:rPr>
        <w:t>.</w:t>
      </w:r>
    </w:p>
    <w:p w:rsidR="00CB6BC7" w:rsidRPr="002F0657" w:rsidRDefault="00CB6BC7" w:rsidP="00CB6BC7">
      <w:pPr>
        <w:pStyle w:val="Body"/>
      </w:pPr>
      <w:r w:rsidRPr="002F0657">
        <w:t>Item-specific question summary rates are reported for the rating questions and each composite question. Question summary rates are also reported individually for two items sum</w:t>
      </w:r>
      <w:r w:rsidR="00BA1BAC" w:rsidRPr="002F0657">
        <w:t>marizing the following concepts:</w:t>
      </w:r>
    </w:p>
    <w:p w:rsidR="00CB6BC7" w:rsidRPr="002F0657" w:rsidRDefault="00CB6BC7" w:rsidP="00CB6BC7">
      <w:pPr>
        <w:pStyle w:val="Bullet"/>
        <w:numPr>
          <w:ilvl w:val="0"/>
          <w:numId w:val="11"/>
        </w:numPr>
        <w:tabs>
          <w:tab w:val="clear" w:pos="1080"/>
        </w:tabs>
        <w:ind w:left="648" w:hanging="288"/>
      </w:pPr>
      <w:r w:rsidRPr="002F0657">
        <w:t>Health Promotion and Education</w:t>
      </w:r>
      <w:r w:rsidR="00BA1BAC" w:rsidRPr="002F0657">
        <w:t>.</w:t>
      </w:r>
    </w:p>
    <w:p w:rsidR="00BA1BAC" w:rsidRPr="002F0657" w:rsidRDefault="00CB6BC7" w:rsidP="00CB6BC7">
      <w:pPr>
        <w:pStyle w:val="Bullet"/>
        <w:numPr>
          <w:ilvl w:val="0"/>
          <w:numId w:val="11"/>
        </w:numPr>
        <w:tabs>
          <w:tab w:val="clear" w:pos="1080"/>
        </w:tabs>
        <w:ind w:left="648" w:hanging="288"/>
        <w:sectPr w:rsidR="00BA1BAC" w:rsidRPr="002F0657" w:rsidSect="003C7BFE">
          <w:headerReference w:type="even" r:id="rId15"/>
          <w:headerReference w:type="default" r:id="rId16"/>
          <w:footerReference w:type="default" r:id="rId17"/>
          <w:pgSz w:w="12240" w:h="15840" w:code="1"/>
          <w:pgMar w:top="1080" w:right="1080" w:bottom="1080" w:left="1440" w:header="720" w:footer="720" w:gutter="0"/>
          <w:cols w:space="720"/>
        </w:sectPr>
      </w:pPr>
      <w:r w:rsidRPr="002F0657">
        <w:t>Coordination of Care</w:t>
      </w:r>
      <w:r w:rsidR="00BA1BAC" w:rsidRPr="002F0657">
        <w:t>.</w:t>
      </w:r>
    </w:p>
    <w:p w:rsidR="00CB6BC7" w:rsidRPr="002F0657" w:rsidRDefault="00BA1BAC" w:rsidP="00BA1BAC">
      <w:pPr>
        <w:pStyle w:val="Body"/>
        <w:spacing w:before="0"/>
        <w:rPr>
          <w:rStyle w:val="CommentReference"/>
          <w:rFonts w:ascii="Times New Roman" w:hAnsi="Times New Roman"/>
          <w:b/>
        </w:rPr>
      </w:pPr>
      <w:r w:rsidRPr="002F0657">
        <w:t>W</w:t>
      </w:r>
      <w:r w:rsidR="00CB6BC7" w:rsidRPr="002F0657">
        <w:t xml:space="preserve">hen administered properly in conjunction with the HEDIS protocols for sampling and data collection, the CAHPS Health Plan Survey </w:t>
      </w:r>
      <w:r w:rsidR="004554D8" w:rsidRPr="002F0657">
        <w:t>5</w:t>
      </w:r>
      <w:r w:rsidR="00CB6BC7" w:rsidRPr="002F0657">
        <w:t xml:space="preserve">.0H, Adult Version gives a reliable overall assessment of member experience with the health plan. Any alteration to the sampling protocol, the CAHPS </w:t>
      </w:r>
      <w:r w:rsidR="004554D8" w:rsidRPr="002F0657">
        <w:t>5</w:t>
      </w:r>
      <w:r w:rsidR="00CB6BC7" w:rsidRPr="002F0657">
        <w:t xml:space="preserve">.0H questionnaire or its administration, other than in conjunction with the HEDIS protocols, may not yield an accurate measurement. Therefore, in order to avoid misleading impressions, </w:t>
      </w:r>
      <w:r w:rsidR="00CB6BC7" w:rsidRPr="002F0657">
        <w:rPr>
          <w:b/>
        </w:rPr>
        <w:t xml:space="preserve">no health plan may represent that it has HEDIS/ CAHPS </w:t>
      </w:r>
      <w:r w:rsidR="004554D8" w:rsidRPr="002F0657">
        <w:rPr>
          <w:b/>
        </w:rPr>
        <w:t>5</w:t>
      </w:r>
      <w:r w:rsidR="00CB6BC7" w:rsidRPr="002F0657">
        <w:rPr>
          <w:b/>
        </w:rPr>
        <w:t xml:space="preserve">.0H </w:t>
      </w:r>
      <w:r w:rsidR="00860193" w:rsidRPr="002F0657">
        <w:rPr>
          <w:b/>
        </w:rPr>
        <w:t>s</w:t>
      </w:r>
      <w:r w:rsidR="00CB6BC7" w:rsidRPr="002F0657">
        <w:rPr>
          <w:b/>
        </w:rPr>
        <w:t>urvey results unless it both administers the entire survey without amendment and complies with the instructions for data collection and reporting contained in this volume</w:t>
      </w:r>
      <w:r w:rsidR="00CB6BC7" w:rsidRPr="002F0657">
        <w:rPr>
          <w:rStyle w:val="CommentReference"/>
          <w:rFonts w:ascii="Times New Roman" w:hAnsi="Times New Roman"/>
          <w:b/>
        </w:rPr>
        <w:t>.</w:t>
      </w:r>
    </w:p>
    <w:p w:rsidR="00BA1BAC" w:rsidRPr="002F0657" w:rsidRDefault="00BA1BAC" w:rsidP="00BA1BAC">
      <w:pPr>
        <w:pStyle w:val="StdHead"/>
        <w:rPr>
          <w:color w:val="auto"/>
        </w:rPr>
      </w:pPr>
      <w:r w:rsidRPr="002F0657">
        <w:rPr>
          <w:color w:val="auto"/>
        </w:rPr>
        <w:t xml:space="preserve">Eligible Population </w:t>
      </w:r>
    </w:p>
    <w:tbl>
      <w:tblPr>
        <w:tblW w:w="0" w:type="auto"/>
        <w:tblInd w:w="18" w:type="dxa"/>
        <w:tblLayout w:type="fixed"/>
        <w:tblLook w:val="0000"/>
      </w:tblPr>
      <w:tblGrid>
        <w:gridCol w:w="2160"/>
        <w:gridCol w:w="7650"/>
      </w:tblGrid>
      <w:tr w:rsidR="00BA1BAC" w:rsidRPr="002F0657" w:rsidTr="001B138E">
        <w:trPr>
          <w:trHeight w:val="333"/>
        </w:trPr>
        <w:tc>
          <w:tcPr>
            <w:tcW w:w="2160" w:type="dxa"/>
          </w:tcPr>
          <w:p w:rsidR="00BA1BAC" w:rsidRPr="002F0657" w:rsidRDefault="00BA1BAC" w:rsidP="001B138E">
            <w:pPr>
              <w:pStyle w:val="MarginSubhead"/>
            </w:pPr>
            <w:r w:rsidRPr="002F0657">
              <w:t>Product lines</w:t>
            </w:r>
          </w:p>
        </w:tc>
        <w:tc>
          <w:tcPr>
            <w:tcW w:w="7650" w:type="dxa"/>
          </w:tcPr>
          <w:p w:rsidR="00BA1BAC" w:rsidRPr="002F0657" w:rsidRDefault="00BA1BAC" w:rsidP="001B138E">
            <w:pPr>
              <w:pStyle w:val="Body"/>
              <w:rPr>
                <w:b/>
                <w:i/>
              </w:rPr>
            </w:pPr>
            <w:r w:rsidRPr="002F0657">
              <w:t>Commercial, Medicaid (report each product line separately).</w:t>
            </w:r>
          </w:p>
        </w:tc>
      </w:tr>
      <w:tr w:rsidR="00BA1BAC" w:rsidRPr="002F0657" w:rsidTr="001B138E">
        <w:tc>
          <w:tcPr>
            <w:tcW w:w="2160" w:type="dxa"/>
          </w:tcPr>
          <w:p w:rsidR="00BA1BAC" w:rsidRPr="002F0657" w:rsidRDefault="00BA1BAC" w:rsidP="001B138E">
            <w:pPr>
              <w:pStyle w:val="MarginSubhead"/>
            </w:pPr>
            <w:r w:rsidRPr="002F0657">
              <w:t>Ages</w:t>
            </w:r>
          </w:p>
        </w:tc>
        <w:tc>
          <w:tcPr>
            <w:tcW w:w="7650" w:type="dxa"/>
          </w:tcPr>
          <w:p w:rsidR="00BA1BAC" w:rsidRPr="002F0657" w:rsidRDefault="00BA1BAC" w:rsidP="001B138E">
            <w:pPr>
              <w:pStyle w:val="Body"/>
              <w:rPr>
                <w:b/>
                <w:i/>
              </w:rPr>
            </w:pPr>
            <w:r w:rsidRPr="002F0657">
              <w:t>18 years and older as of December 31 of the measurement year.</w:t>
            </w:r>
          </w:p>
        </w:tc>
      </w:tr>
      <w:tr w:rsidR="00BA1BAC" w:rsidRPr="002F0657" w:rsidTr="001B138E">
        <w:tc>
          <w:tcPr>
            <w:tcW w:w="2160" w:type="dxa"/>
          </w:tcPr>
          <w:p w:rsidR="00BA1BAC" w:rsidRPr="002F0657" w:rsidRDefault="00BA1BAC" w:rsidP="001B138E">
            <w:pPr>
              <w:pStyle w:val="MarginSubhead"/>
            </w:pPr>
            <w:r w:rsidRPr="002F0657">
              <w:t>Continuous enrollment</w:t>
            </w:r>
          </w:p>
        </w:tc>
        <w:tc>
          <w:tcPr>
            <w:tcW w:w="7650" w:type="dxa"/>
          </w:tcPr>
          <w:p w:rsidR="00BA1BAC" w:rsidRPr="002F0657" w:rsidRDefault="00BA1BAC" w:rsidP="001B138E">
            <w:pPr>
              <w:pStyle w:val="Body"/>
            </w:pPr>
            <w:r w:rsidRPr="002F0657">
              <w:rPr>
                <w:i/>
              </w:rPr>
              <w:t>Commercial:</w:t>
            </w:r>
            <w:r w:rsidRPr="002F0657">
              <w:t xml:space="preserve"> The measurement year. </w:t>
            </w:r>
          </w:p>
          <w:p w:rsidR="00BA1BAC" w:rsidRPr="002F0657" w:rsidRDefault="00BA1BAC" w:rsidP="001B138E">
            <w:pPr>
              <w:pStyle w:val="Body"/>
            </w:pPr>
            <w:r w:rsidRPr="002F0657">
              <w:rPr>
                <w:i/>
              </w:rPr>
              <w:t xml:space="preserve">Medicaid: </w:t>
            </w:r>
            <w:r w:rsidRPr="002F0657">
              <w:t>The last six months of the measurement year.</w:t>
            </w:r>
          </w:p>
        </w:tc>
      </w:tr>
      <w:tr w:rsidR="00BA1BAC" w:rsidRPr="002F0657" w:rsidTr="001B138E">
        <w:tc>
          <w:tcPr>
            <w:tcW w:w="2160" w:type="dxa"/>
          </w:tcPr>
          <w:p w:rsidR="00BA1BAC" w:rsidRPr="002F0657" w:rsidRDefault="00BA1BAC" w:rsidP="001B138E">
            <w:pPr>
              <w:pStyle w:val="MarginSubhead"/>
            </w:pPr>
            <w:r w:rsidRPr="002F0657">
              <w:t>Allowable gap</w:t>
            </w:r>
          </w:p>
        </w:tc>
        <w:tc>
          <w:tcPr>
            <w:tcW w:w="7650" w:type="dxa"/>
          </w:tcPr>
          <w:p w:rsidR="00BA1BAC" w:rsidRPr="002F0657" w:rsidRDefault="00BA1BAC" w:rsidP="001B138E">
            <w:pPr>
              <w:pStyle w:val="Body"/>
            </w:pPr>
            <w:r w:rsidRPr="002F0657">
              <w:t xml:space="preserve">No more than one gap in enrollment of up to 45 days during the measurement year. To determine continuous enrollment for a Medicaid member for whom enrollment is verified monthly, the member may not have more than a 1-month gap in coverage (the member must be enrolled for 5 of the last 6 months of the measurement year). </w:t>
            </w:r>
          </w:p>
        </w:tc>
      </w:tr>
      <w:tr w:rsidR="00BA1BAC" w:rsidRPr="002F0657" w:rsidTr="001B138E">
        <w:tc>
          <w:tcPr>
            <w:tcW w:w="2160" w:type="dxa"/>
          </w:tcPr>
          <w:p w:rsidR="00BA1BAC" w:rsidRPr="002F0657" w:rsidRDefault="00BA1BAC" w:rsidP="001B138E">
            <w:pPr>
              <w:pStyle w:val="MarginSubhead"/>
            </w:pPr>
            <w:r w:rsidRPr="002F0657">
              <w:t>Current enrollment</w:t>
            </w:r>
          </w:p>
        </w:tc>
        <w:tc>
          <w:tcPr>
            <w:tcW w:w="7650" w:type="dxa"/>
          </w:tcPr>
          <w:p w:rsidR="00BA1BAC" w:rsidRPr="002F0657" w:rsidRDefault="00BA1BAC" w:rsidP="001B138E">
            <w:pPr>
              <w:pStyle w:val="Body"/>
            </w:pPr>
            <w:r w:rsidRPr="002F0657">
              <w:t>Currently enrolled at the time the survey is completed.</w:t>
            </w:r>
          </w:p>
        </w:tc>
      </w:tr>
    </w:tbl>
    <w:p w:rsidR="00BA1BAC" w:rsidRPr="002F0657" w:rsidRDefault="00BA1BAC" w:rsidP="00CB6BC7">
      <w:pPr>
        <w:pStyle w:val="Body"/>
        <w:rPr>
          <w:rStyle w:val="CommentReference"/>
          <w:rFonts w:ascii="Times New Roman" w:hAnsi="Times New Roman"/>
          <w:b/>
        </w:rPr>
      </w:pPr>
    </w:p>
    <w:p w:rsidR="00CB6BC7" w:rsidRPr="002F0657" w:rsidRDefault="00CB6BC7" w:rsidP="00CB6BC7">
      <w:pPr>
        <w:sectPr w:rsidR="00CB6BC7" w:rsidRPr="002F0657" w:rsidSect="003C7BFE">
          <w:headerReference w:type="even" r:id="rId18"/>
          <w:pgSz w:w="12240" w:h="15840" w:code="1"/>
          <w:pgMar w:top="1080" w:right="1080" w:bottom="1080" w:left="1440" w:header="720" w:footer="720" w:gutter="0"/>
          <w:cols w:space="720"/>
        </w:sectPr>
      </w:pPr>
    </w:p>
    <w:p w:rsidR="00CB6BC7" w:rsidRPr="002F0657" w:rsidRDefault="00CB6BC7" w:rsidP="00A05CA4">
      <w:pPr>
        <w:pStyle w:val="Heading1"/>
        <w:rPr>
          <w:rFonts w:cs="Arial"/>
          <w:i/>
          <w:sz w:val="28"/>
        </w:rPr>
      </w:pPr>
      <w:r w:rsidRPr="002F0657">
        <w:rPr>
          <w:rFonts w:cs="Arial"/>
          <w:i/>
          <w:sz w:val="28"/>
        </w:rPr>
        <w:t xml:space="preserve">CAHPS Health Plan Survey </w:t>
      </w:r>
      <w:r w:rsidR="004554D8" w:rsidRPr="002F0657">
        <w:rPr>
          <w:rFonts w:cs="Arial"/>
          <w:i/>
          <w:sz w:val="28"/>
        </w:rPr>
        <w:t>5</w:t>
      </w:r>
      <w:r w:rsidRPr="002F0657">
        <w:rPr>
          <w:rFonts w:cs="Arial"/>
          <w:i/>
          <w:sz w:val="28"/>
        </w:rPr>
        <w:t>.0H, Child Version (CPC)</w:t>
      </w:r>
    </w:p>
    <w:p w:rsidR="00CB6BC7" w:rsidRPr="002F0657" w:rsidRDefault="00CB6BC7" w:rsidP="00A05CA4">
      <w:pPr>
        <w:pStyle w:val="HEDISSOC"/>
        <w:rPr>
          <w:i/>
        </w:rPr>
      </w:pPr>
      <w:r w:rsidRPr="002F0657">
        <w:t xml:space="preserve">Summary of Changes to HEDIS </w:t>
      </w:r>
      <w:r w:rsidR="00065CBB" w:rsidRPr="002F0657">
        <w:t>201</w:t>
      </w:r>
      <w:r w:rsidR="004554D8" w:rsidRPr="002F0657">
        <w:t>3</w:t>
      </w:r>
    </w:p>
    <w:p w:rsidR="00BF6C0A" w:rsidRDefault="00BF6C0A" w:rsidP="00BF6C0A">
      <w:pPr>
        <w:pStyle w:val="ProcessBullet"/>
        <w:spacing w:before="180"/>
      </w:pPr>
      <w:r w:rsidRPr="002F0657">
        <w:t>Updated the survey questionnaire from version 4.0H to version 5.0H. Revisions include changes to the number, order and wording of survey questions</w:t>
      </w:r>
      <w:r>
        <w:t>, as well as the following changes to ratings and composites.</w:t>
      </w:r>
    </w:p>
    <w:p w:rsidR="00BF6C0A" w:rsidRDefault="00BF6C0A" w:rsidP="00BF6C0A">
      <w:pPr>
        <w:pStyle w:val="ProcessDash"/>
        <w:tabs>
          <w:tab w:val="clear" w:pos="432"/>
        </w:tabs>
      </w:pPr>
      <w:r>
        <w:t xml:space="preserve">Revised </w:t>
      </w:r>
      <w:r w:rsidRPr="00BF6341">
        <w:rPr>
          <w:i/>
        </w:rPr>
        <w:t>Rating of Specialist Seen Most Often</w:t>
      </w:r>
      <w:r>
        <w:t>; minor wording change is not expected to impact trending.</w:t>
      </w:r>
    </w:p>
    <w:p w:rsidR="00BF6C0A" w:rsidRDefault="00BF6C0A" w:rsidP="00BF6C0A">
      <w:pPr>
        <w:pStyle w:val="ProcessDash"/>
        <w:tabs>
          <w:tab w:val="clear" w:pos="432"/>
        </w:tabs>
      </w:pPr>
      <w:r w:rsidRPr="002F0657">
        <w:t xml:space="preserve">Revised </w:t>
      </w:r>
      <w:r w:rsidRPr="00BF6341">
        <w:rPr>
          <w:i/>
        </w:rPr>
        <w:t>Health Education and Promotion</w:t>
      </w:r>
      <w:r w:rsidRPr="002F0657">
        <w:t xml:space="preserve"> </w:t>
      </w:r>
      <w:r>
        <w:t>question wording and response choices; impacts on trending are expected.</w:t>
      </w:r>
    </w:p>
    <w:p w:rsidR="00BF6C0A" w:rsidRDefault="00BF6C0A" w:rsidP="00BF6C0A">
      <w:pPr>
        <w:pStyle w:val="ProcessDash"/>
        <w:tabs>
          <w:tab w:val="clear" w:pos="432"/>
        </w:tabs>
      </w:pPr>
      <w:r>
        <w:t xml:space="preserve">Revised </w:t>
      </w:r>
      <w:r w:rsidRPr="00BF6341">
        <w:rPr>
          <w:i/>
        </w:rPr>
        <w:t>Getting Needed Care</w:t>
      </w:r>
      <w:r>
        <w:rPr>
          <w:i/>
        </w:rPr>
        <w:t xml:space="preserve"> </w:t>
      </w:r>
      <w:r w:rsidRPr="00ED748B">
        <w:t>composite</w:t>
      </w:r>
      <w:r>
        <w:t xml:space="preserve">; wording changes not expected to impact trending. </w:t>
      </w:r>
    </w:p>
    <w:p w:rsidR="00BF6C0A" w:rsidRDefault="00BF6C0A" w:rsidP="00BF6C0A">
      <w:pPr>
        <w:pStyle w:val="ProcessDash"/>
        <w:tabs>
          <w:tab w:val="clear" w:pos="432"/>
        </w:tabs>
      </w:pPr>
      <w:r>
        <w:t xml:space="preserve">Revised </w:t>
      </w:r>
      <w:r w:rsidRPr="00BF6341">
        <w:rPr>
          <w:i/>
        </w:rPr>
        <w:t>Getting Care Quickly</w:t>
      </w:r>
      <w:r>
        <w:rPr>
          <w:i/>
        </w:rPr>
        <w:t xml:space="preserve"> </w:t>
      </w:r>
      <w:r w:rsidRPr="00ED748B">
        <w:t>composite</w:t>
      </w:r>
      <w:r>
        <w:t>; wording changes not expected to impact trending.</w:t>
      </w:r>
    </w:p>
    <w:p w:rsidR="00BF6C0A" w:rsidRPr="002F0657" w:rsidRDefault="00BF6C0A" w:rsidP="00BF6C0A">
      <w:pPr>
        <w:pStyle w:val="ProcessDash"/>
        <w:tabs>
          <w:tab w:val="clear" w:pos="432"/>
        </w:tabs>
      </w:pPr>
      <w:r>
        <w:t>Revised Shared Decision Making composite; added one question and significantly altered the existing questions and response choices. Impacts on trending are expected.</w:t>
      </w:r>
    </w:p>
    <w:p w:rsidR="005405AC" w:rsidRDefault="005405AC" w:rsidP="005405AC">
      <w:pPr>
        <w:pStyle w:val="ProcessDash"/>
        <w:numPr>
          <w:ilvl w:val="0"/>
          <w:numId w:val="32"/>
        </w:numPr>
        <w:ind w:hanging="432"/>
      </w:pPr>
      <w:r>
        <w:t>Added reminder postcards to the data collection protocol.</w:t>
      </w:r>
    </w:p>
    <w:p w:rsidR="00210150" w:rsidRPr="00FE5571" w:rsidRDefault="00FE5571" w:rsidP="00210150">
      <w:pPr>
        <w:pStyle w:val="Note"/>
        <w:rPr>
          <w:b/>
        </w:rPr>
      </w:pPr>
      <w:r w:rsidRPr="00183420">
        <w:rPr>
          <w:b/>
        </w:rPr>
        <w:t xml:space="preserve">Note: </w:t>
      </w:r>
      <w:r>
        <w:t xml:space="preserve">As a result of </w:t>
      </w:r>
      <w:r w:rsidRPr="008A0FA0">
        <w:t xml:space="preserve">significant specification changes, NCQA will not publicly report </w:t>
      </w:r>
      <w:r>
        <w:t xml:space="preserve">results for </w:t>
      </w:r>
      <w:r w:rsidRPr="008A0FA0">
        <w:t>Health Education and Promotion</w:t>
      </w:r>
      <w:r>
        <w:t xml:space="preserve"> or </w:t>
      </w:r>
      <w:r w:rsidRPr="008A0FA0">
        <w:t xml:space="preserve">Shared Decision Making </w:t>
      </w:r>
      <w:r>
        <w:t>in</w:t>
      </w:r>
      <w:r w:rsidRPr="008A0FA0">
        <w:t xml:space="preserve"> HEDIS 2013.</w:t>
      </w:r>
    </w:p>
    <w:p w:rsidR="003C6EC2" w:rsidRPr="002F0657" w:rsidRDefault="00CB6BC7" w:rsidP="00CB6BC7">
      <w:pPr>
        <w:pStyle w:val="StdHead"/>
        <w:rPr>
          <w:color w:val="auto"/>
        </w:rPr>
      </w:pPr>
      <w:r w:rsidRPr="002F0657">
        <w:rPr>
          <w:color w:val="auto"/>
        </w:rPr>
        <w:t xml:space="preserve">Description </w:t>
      </w:r>
    </w:p>
    <w:p w:rsidR="00CB6BC7" w:rsidRPr="002F0657" w:rsidRDefault="00CB6BC7" w:rsidP="00CB6BC7">
      <w:pPr>
        <w:pStyle w:val="Body"/>
      </w:pPr>
      <w:r w:rsidRPr="002F0657">
        <w:t>This measure provides information on parents’ experience with their child’s health plan. Results summarize member experiences through ratings, composites and individual question summary rates.</w:t>
      </w:r>
    </w:p>
    <w:p w:rsidR="00CB6BC7" w:rsidRPr="002F0657" w:rsidRDefault="00CB6BC7" w:rsidP="00CB6BC7">
      <w:pPr>
        <w:pStyle w:val="Body"/>
      </w:pPr>
      <w:r w:rsidRPr="002F0657">
        <w:t>Four global rating questio</w:t>
      </w:r>
      <w:r w:rsidR="00EB52D7" w:rsidRPr="002F0657">
        <w:t>ns reflect overall satisfaction:</w:t>
      </w:r>
    </w:p>
    <w:p w:rsidR="00CB6BC7" w:rsidRPr="002F0657" w:rsidRDefault="00CB6BC7" w:rsidP="00714AC1">
      <w:pPr>
        <w:pStyle w:val="Bullet"/>
        <w:numPr>
          <w:ilvl w:val="0"/>
          <w:numId w:val="12"/>
        </w:numPr>
        <w:tabs>
          <w:tab w:val="clear" w:pos="1080"/>
        </w:tabs>
        <w:ind w:left="648" w:hanging="288"/>
      </w:pPr>
      <w:r w:rsidRPr="002F0657">
        <w:t>Rating of All Health Care</w:t>
      </w:r>
      <w:r w:rsidR="00EB52D7" w:rsidRPr="002F0657">
        <w:t>.</w:t>
      </w:r>
    </w:p>
    <w:p w:rsidR="00CB6BC7" w:rsidRPr="002F0657" w:rsidRDefault="00CB6BC7" w:rsidP="00714AC1">
      <w:pPr>
        <w:pStyle w:val="Bullet"/>
        <w:numPr>
          <w:ilvl w:val="0"/>
          <w:numId w:val="12"/>
        </w:numPr>
        <w:tabs>
          <w:tab w:val="clear" w:pos="1080"/>
        </w:tabs>
        <w:ind w:left="648" w:hanging="288"/>
      </w:pPr>
      <w:r w:rsidRPr="002F0657">
        <w:t>Rating of Personal Doctor</w:t>
      </w:r>
      <w:r w:rsidR="00EB52D7" w:rsidRPr="002F0657">
        <w:t>.</w:t>
      </w:r>
    </w:p>
    <w:p w:rsidR="00CB6BC7" w:rsidRPr="002F0657" w:rsidRDefault="00CB6BC7" w:rsidP="00714AC1">
      <w:pPr>
        <w:pStyle w:val="Bullet"/>
        <w:numPr>
          <w:ilvl w:val="0"/>
          <w:numId w:val="12"/>
        </w:numPr>
        <w:tabs>
          <w:tab w:val="clear" w:pos="1080"/>
        </w:tabs>
        <w:ind w:left="648" w:hanging="288"/>
      </w:pPr>
      <w:r w:rsidRPr="002F0657">
        <w:t>Rating of Specialist Seen Most Often</w:t>
      </w:r>
      <w:r w:rsidR="00EB52D7" w:rsidRPr="002F0657">
        <w:t>.</w:t>
      </w:r>
      <w:r w:rsidRPr="002F0657" w:rsidDel="00DA23E9">
        <w:t xml:space="preserve"> </w:t>
      </w:r>
    </w:p>
    <w:p w:rsidR="00CB6BC7" w:rsidRPr="002F0657" w:rsidRDefault="00CB6BC7" w:rsidP="00714AC1">
      <w:pPr>
        <w:pStyle w:val="Bullet"/>
        <w:numPr>
          <w:ilvl w:val="0"/>
          <w:numId w:val="12"/>
        </w:numPr>
        <w:tabs>
          <w:tab w:val="clear" w:pos="1080"/>
        </w:tabs>
        <w:ind w:left="648" w:hanging="288"/>
      </w:pPr>
      <w:r w:rsidRPr="002F0657">
        <w:t>Rating of Health Plan</w:t>
      </w:r>
      <w:r w:rsidR="00EB52D7" w:rsidRPr="002F0657">
        <w:t>.</w:t>
      </w:r>
    </w:p>
    <w:p w:rsidR="00CB6BC7" w:rsidRPr="002F0657" w:rsidRDefault="00CB6BC7" w:rsidP="00CB6BC7">
      <w:pPr>
        <w:pStyle w:val="Body"/>
      </w:pPr>
      <w:r w:rsidRPr="002F0657">
        <w:t>Five composite scores s</w:t>
      </w:r>
      <w:r w:rsidR="00EB52D7" w:rsidRPr="002F0657">
        <w:t>ummarize responses in key areas:</w:t>
      </w:r>
    </w:p>
    <w:p w:rsidR="00CB6BC7" w:rsidRPr="002F0657" w:rsidRDefault="00CB6BC7" w:rsidP="00714AC1">
      <w:pPr>
        <w:pStyle w:val="Bullet"/>
        <w:numPr>
          <w:ilvl w:val="0"/>
          <w:numId w:val="13"/>
        </w:numPr>
        <w:tabs>
          <w:tab w:val="clear" w:pos="1080"/>
        </w:tabs>
        <w:ind w:left="648" w:hanging="288"/>
      </w:pPr>
      <w:r w:rsidRPr="002F0657">
        <w:t>Customer Service</w:t>
      </w:r>
      <w:r w:rsidR="00EB52D7" w:rsidRPr="002F0657">
        <w:t>.</w:t>
      </w:r>
    </w:p>
    <w:p w:rsidR="00CB6BC7" w:rsidRPr="002F0657" w:rsidRDefault="00CB6BC7" w:rsidP="00714AC1">
      <w:pPr>
        <w:pStyle w:val="Bullet"/>
        <w:numPr>
          <w:ilvl w:val="0"/>
          <w:numId w:val="13"/>
        </w:numPr>
        <w:tabs>
          <w:tab w:val="clear" w:pos="1080"/>
        </w:tabs>
        <w:ind w:left="648" w:hanging="288"/>
      </w:pPr>
      <w:r w:rsidRPr="002F0657">
        <w:t>Getting Care Quickly</w:t>
      </w:r>
      <w:r w:rsidR="00EB52D7" w:rsidRPr="002F0657">
        <w:t>.</w:t>
      </w:r>
    </w:p>
    <w:p w:rsidR="00CB6BC7" w:rsidRPr="002F0657" w:rsidRDefault="00CB6BC7" w:rsidP="00714AC1">
      <w:pPr>
        <w:pStyle w:val="Bullet"/>
        <w:numPr>
          <w:ilvl w:val="0"/>
          <w:numId w:val="13"/>
        </w:numPr>
        <w:tabs>
          <w:tab w:val="clear" w:pos="1080"/>
        </w:tabs>
        <w:ind w:left="648" w:hanging="288"/>
      </w:pPr>
      <w:r w:rsidRPr="002F0657">
        <w:t>Getting Needed Care</w:t>
      </w:r>
      <w:r w:rsidR="00EB52D7" w:rsidRPr="002F0657">
        <w:t>.</w:t>
      </w:r>
    </w:p>
    <w:p w:rsidR="00CB6BC7" w:rsidRPr="002F0657" w:rsidRDefault="00CB6BC7" w:rsidP="00714AC1">
      <w:pPr>
        <w:pStyle w:val="Bullet"/>
        <w:numPr>
          <w:ilvl w:val="0"/>
          <w:numId w:val="13"/>
        </w:numPr>
        <w:tabs>
          <w:tab w:val="clear" w:pos="1080"/>
        </w:tabs>
        <w:ind w:left="648" w:hanging="288"/>
      </w:pPr>
      <w:r w:rsidRPr="002F0657">
        <w:t>How Well Doctors Communicate</w:t>
      </w:r>
      <w:r w:rsidR="00EB52D7" w:rsidRPr="002F0657">
        <w:t>.</w:t>
      </w:r>
    </w:p>
    <w:p w:rsidR="00CB6BC7" w:rsidRPr="002F0657" w:rsidRDefault="00CB6BC7" w:rsidP="00714AC1">
      <w:pPr>
        <w:pStyle w:val="Bullet"/>
        <w:numPr>
          <w:ilvl w:val="0"/>
          <w:numId w:val="13"/>
        </w:numPr>
        <w:tabs>
          <w:tab w:val="clear" w:pos="1080"/>
        </w:tabs>
        <w:ind w:left="648" w:hanging="288"/>
      </w:pPr>
      <w:r w:rsidRPr="002F0657">
        <w:t>Shared Decision Making</w:t>
      </w:r>
      <w:r w:rsidR="00EB52D7" w:rsidRPr="002F0657">
        <w:t>.</w:t>
      </w:r>
    </w:p>
    <w:p w:rsidR="00CB6BC7" w:rsidRPr="002F0657" w:rsidRDefault="00CB6BC7" w:rsidP="00CB6BC7">
      <w:pPr>
        <w:pStyle w:val="Body"/>
      </w:pPr>
      <w:r w:rsidRPr="002F0657">
        <w:t>Item-specific question summary rates are reported for the rating questions and each composite question. Question summary rates are also reported individually for two items sum</w:t>
      </w:r>
      <w:r w:rsidR="00EB52D7" w:rsidRPr="002F0657">
        <w:t>marizing the following concepts:</w:t>
      </w:r>
    </w:p>
    <w:p w:rsidR="00CB6BC7" w:rsidRPr="002F0657" w:rsidRDefault="00CB6BC7" w:rsidP="00CB6BC7">
      <w:pPr>
        <w:pStyle w:val="Bullet"/>
        <w:numPr>
          <w:ilvl w:val="0"/>
          <w:numId w:val="19"/>
        </w:numPr>
        <w:tabs>
          <w:tab w:val="clear" w:pos="720"/>
        </w:tabs>
        <w:ind w:left="648" w:hanging="288"/>
      </w:pPr>
      <w:r w:rsidRPr="002F0657">
        <w:t>Health Promotion and Education (Q8)</w:t>
      </w:r>
      <w:r w:rsidR="00EB52D7" w:rsidRPr="002F0657">
        <w:t>.</w:t>
      </w:r>
    </w:p>
    <w:p w:rsidR="00CB6BC7" w:rsidRDefault="00CB6BC7" w:rsidP="00CB6BC7">
      <w:pPr>
        <w:pStyle w:val="Bullet"/>
        <w:numPr>
          <w:ilvl w:val="0"/>
          <w:numId w:val="19"/>
        </w:numPr>
        <w:tabs>
          <w:tab w:val="clear" w:pos="720"/>
        </w:tabs>
        <w:ind w:left="648" w:hanging="288"/>
      </w:pPr>
      <w:r w:rsidRPr="002F0657">
        <w:t>Coordination of Care (</w:t>
      </w:r>
      <w:r w:rsidR="00F15135" w:rsidRPr="002F0657">
        <w:t>Q25</w:t>
      </w:r>
      <w:r w:rsidRPr="002F0657">
        <w:t>, Without CCC version of questionnaire)</w:t>
      </w:r>
      <w:r w:rsidR="00EB52D7" w:rsidRPr="002F0657">
        <w:t>.</w:t>
      </w:r>
    </w:p>
    <w:p w:rsidR="00FE5571" w:rsidRDefault="00FE5571" w:rsidP="00BF6C0A">
      <w:pPr>
        <w:pStyle w:val="Bullet"/>
        <w:numPr>
          <w:ilvl w:val="0"/>
          <w:numId w:val="0"/>
        </w:numPr>
        <w:ind w:left="576" w:hanging="216"/>
        <w:sectPr w:rsidR="00FE5571" w:rsidSect="003C7BFE">
          <w:headerReference w:type="even" r:id="rId19"/>
          <w:headerReference w:type="default" r:id="rId20"/>
          <w:pgSz w:w="12240" w:h="15840" w:code="1"/>
          <w:pgMar w:top="1080" w:right="1080" w:bottom="1080" w:left="1440" w:header="720" w:footer="720" w:gutter="0"/>
          <w:cols w:space="720"/>
        </w:sectPr>
      </w:pPr>
    </w:p>
    <w:p w:rsidR="00CB6BC7" w:rsidRDefault="00CB6BC7" w:rsidP="00FE5571">
      <w:pPr>
        <w:pStyle w:val="Body"/>
        <w:spacing w:before="0"/>
      </w:pPr>
      <w:r w:rsidRPr="002F0657">
        <w:t xml:space="preserve">When administered properly in conjunction with the protocols for sampling and data collection, the CAHPS Health Plan Survey </w:t>
      </w:r>
      <w:r w:rsidR="004554D8" w:rsidRPr="002F0657">
        <w:t>5</w:t>
      </w:r>
      <w:r w:rsidRPr="002F0657">
        <w:t xml:space="preserve">.0H, Child Version gives a reliable overall assessment of member experience with the health plan. Any alteration to the sampling protocol, the CAHPS </w:t>
      </w:r>
      <w:r w:rsidR="004554D8" w:rsidRPr="002F0657">
        <w:t>5</w:t>
      </w:r>
      <w:r w:rsidRPr="002F0657">
        <w:t xml:space="preserve">.0H questionnaire or its administration, other than in conjunction with the HEDIS protocols, may not yield an accurate measurement. Therefore, in order to avoid misleading impressions, </w:t>
      </w:r>
      <w:r w:rsidRPr="002F0657">
        <w:rPr>
          <w:b/>
        </w:rPr>
        <w:t xml:space="preserve">no health plan may represent that it has HEDIS/CAHPS </w:t>
      </w:r>
      <w:r w:rsidR="004554D8" w:rsidRPr="002F0657">
        <w:rPr>
          <w:b/>
        </w:rPr>
        <w:t>5</w:t>
      </w:r>
      <w:r w:rsidR="00860193" w:rsidRPr="002F0657">
        <w:rPr>
          <w:b/>
        </w:rPr>
        <w:t>.0H s</w:t>
      </w:r>
      <w:r w:rsidRPr="002F0657">
        <w:rPr>
          <w:b/>
        </w:rPr>
        <w:t>urvey results unless it both administers the entire survey without amendment and complies with the instructions for data collection and reporting contained in this volume.</w:t>
      </w:r>
      <w:r w:rsidRPr="002F0657">
        <w:t xml:space="preserve"> </w:t>
      </w:r>
    </w:p>
    <w:p w:rsidR="00CB6BC7" w:rsidRPr="002F0657" w:rsidRDefault="00CB6BC7" w:rsidP="00FE5571">
      <w:pPr>
        <w:pStyle w:val="StdHead"/>
        <w:rPr>
          <w:color w:val="auto"/>
        </w:rPr>
      </w:pPr>
      <w:r w:rsidRPr="002F0657">
        <w:rPr>
          <w:color w:val="auto"/>
        </w:rPr>
        <w:t xml:space="preserve">Eligible Population </w:t>
      </w:r>
    </w:p>
    <w:tbl>
      <w:tblPr>
        <w:tblW w:w="0" w:type="auto"/>
        <w:tblInd w:w="18" w:type="dxa"/>
        <w:tblLayout w:type="fixed"/>
        <w:tblLook w:val="0000"/>
      </w:tblPr>
      <w:tblGrid>
        <w:gridCol w:w="2160"/>
        <w:gridCol w:w="7650"/>
      </w:tblGrid>
      <w:tr w:rsidR="00CB6BC7" w:rsidRPr="002F0657" w:rsidTr="00D53140">
        <w:trPr>
          <w:trHeight w:val="333"/>
        </w:trPr>
        <w:tc>
          <w:tcPr>
            <w:tcW w:w="2160" w:type="dxa"/>
          </w:tcPr>
          <w:p w:rsidR="00CB6BC7" w:rsidRPr="002F0657" w:rsidRDefault="00CB6BC7" w:rsidP="00D53140">
            <w:pPr>
              <w:pStyle w:val="MarginSubhead"/>
            </w:pPr>
            <w:r w:rsidRPr="002F0657">
              <w:t>Product lines</w:t>
            </w:r>
          </w:p>
        </w:tc>
        <w:tc>
          <w:tcPr>
            <w:tcW w:w="7650" w:type="dxa"/>
          </w:tcPr>
          <w:p w:rsidR="00CB6BC7" w:rsidRPr="002F0657" w:rsidRDefault="00CB6BC7" w:rsidP="00D53140">
            <w:pPr>
              <w:pStyle w:val="Body"/>
              <w:rPr>
                <w:i/>
              </w:rPr>
            </w:pPr>
            <w:r w:rsidRPr="002F0657">
              <w:t>Commercial, Medicaid (report each product line separately).</w:t>
            </w:r>
          </w:p>
        </w:tc>
      </w:tr>
      <w:tr w:rsidR="00CB6BC7" w:rsidRPr="002F0657" w:rsidTr="00D53140">
        <w:tc>
          <w:tcPr>
            <w:tcW w:w="2160" w:type="dxa"/>
          </w:tcPr>
          <w:p w:rsidR="00CB6BC7" w:rsidRPr="002F0657" w:rsidRDefault="00CB6BC7" w:rsidP="00D53140">
            <w:pPr>
              <w:pStyle w:val="MarginSubhead"/>
            </w:pPr>
            <w:r w:rsidRPr="002F0657">
              <w:t>Ages</w:t>
            </w:r>
          </w:p>
        </w:tc>
        <w:tc>
          <w:tcPr>
            <w:tcW w:w="7650" w:type="dxa"/>
          </w:tcPr>
          <w:p w:rsidR="00CB6BC7" w:rsidRPr="002F0657" w:rsidRDefault="00CB6BC7" w:rsidP="00D53140">
            <w:pPr>
              <w:pStyle w:val="Body"/>
              <w:rPr>
                <w:i/>
              </w:rPr>
            </w:pPr>
            <w:r w:rsidRPr="002F0657">
              <w:t>17 years and younger as of December 31 of the measurement year.</w:t>
            </w:r>
          </w:p>
        </w:tc>
      </w:tr>
      <w:tr w:rsidR="00CB6BC7" w:rsidRPr="002F0657" w:rsidTr="00D53140">
        <w:tc>
          <w:tcPr>
            <w:tcW w:w="2160" w:type="dxa"/>
          </w:tcPr>
          <w:p w:rsidR="00CB6BC7" w:rsidRPr="002F0657" w:rsidRDefault="00CB6BC7" w:rsidP="00D53140">
            <w:pPr>
              <w:pStyle w:val="MarginSubhead"/>
            </w:pPr>
            <w:r w:rsidRPr="002F0657">
              <w:t>Continuous enrollment</w:t>
            </w:r>
          </w:p>
        </w:tc>
        <w:tc>
          <w:tcPr>
            <w:tcW w:w="7650" w:type="dxa"/>
          </w:tcPr>
          <w:p w:rsidR="00CB6BC7" w:rsidRPr="002F0657" w:rsidRDefault="00CB6BC7" w:rsidP="00D53140">
            <w:pPr>
              <w:pStyle w:val="Body"/>
            </w:pPr>
            <w:r w:rsidRPr="002F0657">
              <w:rPr>
                <w:i/>
              </w:rPr>
              <w:t>Commercial:</w:t>
            </w:r>
            <w:r w:rsidRPr="002F0657">
              <w:t xml:space="preserve"> The measurement year. </w:t>
            </w:r>
          </w:p>
          <w:p w:rsidR="00CB6BC7" w:rsidRPr="002F0657" w:rsidRDefault="00CB6BC7" w:rsidP="00D53140">
            <w:pPr>
              <w:pStyle w:val="Body"/>
            </w:pPr>
            <w:r w:rsidRPr="002F0657">
              <w:rPr>
                <w:i/>
              </w:rPr>
              <w:t xml:space="preserve">Medicaid: </w:t>
            </w:r>
            <w:r w:rsidRPr="002F0657">
              <w:t>The last six months of the measurement year.</w:t>
            </w:r>
          </w:p>
        </w:tc>
      </w:tr>
      <w:tr w:rsidR="00CB6BC7" w:rsidRPr="002F0657" w:rsidTr="00D53140">
        <w:tc>
          <w:tcPr>
            <w:tcW w:w="2160" w:type="dxa"/>
          </w:tcPr>
          <w:p w:rsidR="00CB6BC7" w:rsidRPr="002F0657" w:rsidRDefault="00CB6BC7" w:rsidP="00D53140">
            <w:pPr>
              <w:pStyle w:val="MarginSubhead"/>
            </w:pPr>
            <w:r w:rsidRPr="002F0657">
              <w:t>Allowable gap</w:t>
            </w:r>
          </w:p>
        </w:tc>
        <w:tc>
          <w:tcPr>
            <w:tcW w:w="7650" w:type="dxa"/>
          </w:tcPr>
          <w:p w:rsidR="00CB6BC7" w:rsidRPr="002F0657" w:rsidRDefault="00CB6BC7" w:rsidP="00D53140">
            <w:pPr>
              <w:pStyle w:val="Body"/>
            </w:pPr>
            <w:r w:rsidRPr="002F0657">
              <w:t xml:space="preserve">No more than one gap in enrollment of up to 45 days during the measurement year. To determine continuous enrollment for a Medicaid member for whom enrollment is verified monthly, the member may not have more than a 1-month gap in coverage (the member must be enrolled for 5 of the last 6 months of the measurement year). </w:t>
            </w:r>
          </w:p>
        </w:tc>
      </w:tr>
      <w:tr w:rsidR="00CB6BC7" w:rsidRPr="002F0657" w:rsidTr="00D53140">
        <w:tc>
          <w:tcPr>
            <w:tcW w:w="2160" w:type="dxa"/>
          </w:tcPr>
          <w:p w:rsidR="00CB6BC7" w:rsidRPr="002F0657" w:rsidRDefault="00CB6BC7" w:rsidP="00D53140">
            <w:pPr>
              <w:pStyle w:val="MarginSubhead"/>
            </w:pPr>
            <w:r w:rsidRPr="002F0657">
              <w:t>Current enrollment</w:t>
            </w:r>
          </w:p>
        </w:tc>
        <w:tc>
          <w:tcPr>
            <w:tcW w:w="7650" w:type="dxa"/>
          </w:tcPr>
          <w:p w:rsidR="00CB6BC7" w:rsidRPr="002F0657" w:rsidRDefault="00CB6BC7" w:rsidP="00D53140">
            <w:pPr>
              <w:pStyle w:val="Body"/>
            </w:pPr>
            <w:r w:rsidRPr="002F0657">
              <w:t>Currently enrolled at the time the survey is completed.</w:t>
            </w:r>
          </w:p>
        </w:tc>
      </w:tr>
    </w:tbl>
    <w:p w:rsidR="00CB6BC7" w:rsidRPr="002F0657" w:rsidRDefault="00CB6BC7" w:rsidP="00CB6BC7">
      <w:pPr>
        <w:pStyle w:val="IndentNormal"/>
        <w:spacing w:before="0" w:after="0"/>
        <w:sectPr w:rsidR="00CB6BC7" w:rsidRPr="002F0657" w:rsidSect="003C7BFE">
          <w:headerReference w:type="even" r:id="rId21"/>
          <w:headerReference w:type="default" r:id="rId22"/>
          <w:pgSz w:w="12240" w:h="15840" w:code="1"/>
          <w:pgMar w:top="1080" w:right="1080" w:bottom="1080" w:left="1440" w:header="720" w:footer="720" w:gutter="0"/>
          <w:cols w:space="720"/>
        </w:sectPr>
      </w:pPr>
    </w:p>
    <w:p w:rsidR="00CB6BC7" w:rsidRPr="002F0657" w:rsidRDefault="00CB6BC7" w:rsidP="001C2A6A">
      <w:pPr>
        <w:pStyle w:val="Heading1"/>
        <w:rPr>
          <w:rFonts w:cs="Arial"/>
          <w:i/>
          <w:sz w:val="28"/>
        </w:rPr>
      </w:pPr>
      <w:r w:rsidRPr="002F0657">
        <w:rPr>
          <w:rFonts w:cs="Arial"/>
          <w:i/>
          <w:sz w:val="28"/>
        </w:rPr>
        <w:t xml:space="preserve">Protocols for Administering HEDIS/CAHPS Surveys </w:t>
      </w:r>
    </w:p>
    <w:p w:rsidR="00CB6BC7" w:rsidRPr="002F0657" w:rsidRDefault="00CB6BC7" w:rsidP="00FE5571">
      <w:pPr>
        <w:pStyle w:val="Body"/>
        <w:spacing w:before="0"/>
      </w:pPr>
      <w:r w:rsidRPr="002F0657">
        <w:t xml:space="preserve">NCQA designed the HEDIS sampling and data collection protocols for the CAHPS surveys to capture accurate and complete information about consumer-reported experiences with health care. The sampling and data collection procedures outlined below promote both the standardized administration of the survey instruments by different survey vendors and the comparability of resulting data about health plans. </w:t>
      </w:r>
      <w:r w:rsidRPr="002F0657">
        <w:rPr>
          <w:b/>
        </w:rPr>
        <w:t>For results to be considered HEDIS/CAHPS survey results, the health plan must follow one of the standard HEDIS/CAHPS survey protocols or an enhanced protocol preapproved by NCQA</w:t>
      </w:r>
      <w:r w:rsidR="005229B0" w:rsidRPr="002F0657">
        <w:rPr>
          <w:b/>
        </w:rPr>
        <w:t>.</w:t>
      </w:r>
      <w:r w:rsidR="004554D8" w:rsidRPr="002F0657">
        <w:rPr>
          <w:b/>
        </w:rPr>
        <w:t xml:space="preserve"> </w:t>
      </w:r>
      <w:r w:rsidRPr="002F0657">
        <w:t xml:space="preserve">NCQA provides certified survey vendors with further instruction and training in the protocols and a Quality Assurance Plan (QAP) at HEDIS </w:t>
      </w:r>
      <w:r w:rsidR="004554D8" w:rsidRPr="002F0657">
        <w:t xml:space="preserve">2013 </w:t>
      </w:r>
      <w:r w:rsidRPr="002F0657">
        <w:t>Survey Vendor Training.</w:t>
      </w:r>
    </w:p>
    <w:p w:rsidR="00CB6BC7" w:rsidRPr="002F0657" w:rsidRDefault="00CB6BC7" w:rsidP="00CB6BC7">
      <w:pPr>
        <w:pStyle w:val="StdHead"/>
        <w:rPr>
          <w:color w:val="auto"/>
        </w:rPr>
      </w:pPr>
      <w:r w:rsidRPr="002F0657">
        <w:rPr>
          <w:color w:val="auto"/>
        </w:rPr>
        <w:t>Sample Frame Data File Generation</w:t>
      </w:r>
    </w:p>
    <w:p w:rsidR="00CB6BC7" w:rsidRPr="002F0657" w:rsidRDefault="00CB6BC7" w:rsidP="00CB6BC7">
      <w:pPr>
        <w:pStyle w:val="Body"/>
      </w:pPr>
      <w:r w:rsidRPr="002F0657">
        <w:t xml:space="preserve">Health plans are responsible for generating a complete, accurate and valid sample frame data file that is representative of the entire eligible population. Health plans arrange for an NCQA Certified HEDIS Compliance Auditor to verify the integrity of the sample frame before the survey vendor draws the sample </w:t>
      </w:r>
      <w:r w:rsidRPr="002F0657">
        <w:br/>
        <w:t xml:space="preserve">and administers the survey. </w:t>
      </w:r>
    </w:p>
    <w:p w:rsidR="00CB6BC7" w:rsidRPr="002F0657" w:rsidRDefault="00CB6BC7" w:rsidP="00CB6BC7">
      <w:pPr>
        <w:pStyle w:val="Body"/>
      </w:pPr>
      <w:r w:rsidRPr="002F0657">
        <w:t>Health plans have the option of producing a complete sample frame or a reduced sample frame.</w:t>
      </w:r>
    </w:p>
    <w:p w:rsidR="00CB6BC7" w:rsidRPr="002F0657" w:rsidRDefault="00CB6BC7" w:rsidP="00CB6BC7">
      <w:pPr>
        <w:pStyle w:val="Bullet"/>
      </w:pPr>
      <w:r w:rsidRPr="002F0657">
        <w:t xml:space="preserve">A </w:t>
      </w:r>
      <w:r w:rsidRPr="002F0657">
        <w:rPr>
          <w:b/>
        </w:rPr>
        <w:t>complete sample frame</w:t>
      </w:r>
      <w:r w:rsidRPr="002F0657">
        <w:t xml:space="preserve"> includes the entire </w:t>
      </w:r>
      <w:r w:rsidR="00E11409" w:rsidRPr="002F0657">
        <w:t>eligible pop</w:t>
      </w:r>
      <w:r w:rsidRPr="002F0657">
        <w:t>ulation.</w:t>
      </w:r>
    </w:p>
    <w:p w:rsidR="00CB6BC7" w:rsidRPr="002F0657" w:rsidRDefault="00CB6BC7" w:rsidP="00CB6BC7">
      <w:pPr>
        <w:pStyle w:val="Bullet"/>
      </w:pPr>
      <w:r w:rsidRPr="002F0657">
        <w:t xml:space="preserve">A </w:t>
      </w:r>
      <w:r w:rsidRPr="002F0657">
        <w:rPr>
          <w:b/>
        </w:rPr>
        <w:t>reduced sample frame</w:t>
      </w:r>
      <w:r w:rsidRPr="002F0657">
        <w:t xml:space="preserve"> includes 30,000 members randomly selected from the entire eligible population. The HEDIS Compliance Auditor validates the health plan’s method for selecting the random sample. </w:t>
      </w:r>
    </w:p>
    <w:p w:rsidR="00CB6BC7" w:rsidRPr="002F0657" w:rsidRDefault="00CB6BC7" w:rsidP="00CB6BC7">
      <w:pPr>
        <w:pStyle w:val="Body"/>
      </w:pPr>
      <w:r w:rsidRPr="002F0657">
        <w:t xml:space="preserve">A sample frame is produced for each HEDIS/CAHPS survey submission. For example, separate sample frames are produced for commercial and Medicaid, and if the health plan reports results separately by product (HMO, POS, PPO), it must produce sample frames separately by product. </w:t>
      </w:r>
    </w:p>
    <w:p w:rsidR="00CB6BC7" w:rsidRPr="002F0657" w:rsidRDefault="00CB6BC7" w:rsidP="00CB6BC7">
      <w:pPr>
        <w:pStyle w:val="Body"/>
      </w:pPr>
      <w:r w:rsidRPr="002F0657">
        <w:t xml:space="preserve">Health plans are </w:t>
      </w:r>
      <w:r w:rsidRPr="002F0657">
        <w:rPr>
          <w:i/>
        </w:rPr>
        <w:t xml:space="preserve">strongly encouraged </w:t>
      </w:r>
      <w:r w:rsidRPr="002F0657">
        <w:t xml:space="preserve">to generate sample frames no earlier than January </w:t>
      </w:r>
      <w:r w:rsidR="004554D8" w:rsidRPr="002F0657">
        <w:t>2013</w:t>
      </w:r>
      <w:r w:rsidRPr="002F0657">
        <w:t xml:space="preserve">, and </w:t>
      </w:r>
      <w:r w:rsidRPr="002F0657">
        <w:rPr>
          <w:i/>
        </w:rPr>
        <w:t>not before</w:t>
      </w:r>
      <w:r w:rsidRPr="002F0657">
        <w:t xml:space="preserve"> eliminating disenrolled and deceased members and updating membership files with address and telephone number corrections. Health plans may generate the sample frame in December of the measurement year, but must oversample to compensate for members who will disenroll between sample frame generation and administration of the survey. A health plan that generates the sample frame in December of the measurement year must adhere to steps 1–7 of the oversampling process described in the </w:t>
      </w:r>
      <w:r w:rsidRPr="002F0657">
        <w:rPr>
          <w:i/>
        </w:rPr>
        <w:t>Sampling Protocol</w:t>
      </w:r>
      <w:r w:rsidRPr="002F0657">
        <w:t xml:space="preserve"> section below. Health plans must generate a sample frame data file for each product line and product, if applicable, to enable the survey vendor to generate the random sample; must use the standardized layout and format provided for the sample frame data file; and must include all data elements (Tables S-1, S-2).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80"/>
        <w:gridCol w:w="7920"/>
      </w:tblGrid>
      <w:tr w:rsidR="00CB6BC7" w:rsidRPr="002F0657" w:rsidTr="00D53140">
        <w:tc>
          <w:tcPr>
            <w:tcW w:w="1980"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Standardized format</w:t>
            </w:r>
          </w:p>
        </w:tc>
        <w:tc>
          <w:tcPr>
            <w:tcW w:w="7920"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standardized format for the sample frame is an ASCII fixed-width text file with defined, fixed column positions for each data element. It contains one record or line for each member who meets the eligible population criteria (one record/member per line; one line per record). </w:t>
            </w:r>
          </w:p>
          <w:p w:rsidR="00CB6BC7" w:rsidRPr="002F0657" w:rsidRDefault="00CB6BC7" w:rsidP="00D53140">
            <w:pPr>
              <w:pStyle w:val="Body"/>
            </w:pPr>
            <w:r w:rsidRPr="002F0657">
              <w:t xml:space="preserve">Data elements adhere to the value label characteristics described in Tables S-1 and </w:t>
            </w:r>
            <w:r w:rsidRPr="002F0657">
              <w:br/>
              <w:t xml:space="preserve">S-2 and are placed in the designated columns (field positions). No delimiters are used. All data elements are required. For example, a health plan must assign </w:t>
            </w:r>
            <w:r w:rsidRPr="002F0657">
              <w:rPr>
                <w:i/>
              </w:rPr>
              <w:t>Member age as of December 31 of the measurement year</w:t>
            </w:r>
            <w:r w:rsidRPr="002F0657">
              <w:t xml:space="preserve"> in the adult sample frame even if it does not intend to report the </w:t>
            </w:r>
            <w:r w:rsidRPr="002F0657">
              <w:rPr>
                <w:i/>
              </w:rPr>
              <w:t>Aspirin Use and Discussion</w:t>
            </w:r>
            <w:r w:rsidRPr="002F0657">
              <w:t xml:space="preserve"> measure. </w:t>
            </w:r>
          </w:p>
          <w:p w:rsidR="00CB6BC7" w:rsidRPr="002F0657" w:rsidRDefault="00CB6BC7" w:rsidP="00D53140">
            <w:pPr>
              <w:pStyle w:val="Body"/>
            </w:pPr>
          </w:p>
        </w:tc>
      </w:tr>
    </w:tbl>
    <w:p w:rsidR="00CB6BC7" w:rsidRPr="002F0657" w:rsidRDefault="00CB6BC7" w:rsidP="00CB6BC7">
      <w:pPr>
        <w:sectPr w:rsidR="00CB6BC7" w:rsidRPr="002F0657" w:rsidSect="003C7BFE">
          <w:headerReference w:type="even" r:id="rId23"/>
          <w:headerReference w:type="default" r:id="rId24"/>
          <w:pgSz w:w="12240" w:h="15840" w:code="1"/>
          <w:pgMar w:top="1080" w:right="1080" w:bottom="1080" w:left="1440" w:header="720" w:footer="720" w:gutter="0"/>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80"/>
        <w:gridCol w:w="7920"/>
      </w:tblGrid>
      <w:tr w:rsidR="00CB6BC7" w:rsidRPr="002F0657" w:rsidTr="00D53140">
        <w:tc>
          <w:tcPr>
            <w:tcW w:w="1980" w:type="dxa"/>
            <w:tcBorders>
              <w:top w:val="nil"/>
              <w:left w:val="nil"/>
              <w:bottom w:val="nil"/>
              <w:right w:val="nil"/>
            </w:tcBorders>
            <w:tcMar>
              <w:left w:w="115" w:type="dxa"/>
              <w:right w:w="115" w:type="dxa"/>
            </w:tcMar>
          </w:tcPr>
          <w:p w:rsidR="00CB6BC7" w:rsidRPr="002F0657" w:rsidRDefault="00CB6BC7" w:rsidP="00D53140">
            <w:pPr>
              <w:pStyle w:val="MarginSubhead"/>
            </w:pPr>
          </w:p>
        </w:tc>
        <w:tc>
          <w:tcPr>
            <w:tcW w:w="7920" w:type="dxa"/>
            <w:tcBorders>
              <w:top w:val="nil"/>
              <w:left w:val="nil"/>
              <w:bottom w:val="nil"/>
              <w:right w:val="nil"/>
            </w:tcBorders>
            <w:tcMar>
              <w:left w:w="115" w:type="dxa"/>
              <w:right w:w="115" w:type="dxa"/>
            </w:tcMar>
          </w:tcPr>
          <w:p w:rsidR="00CB6BC7" w:rsidRPr="002F0657" w:rsidRDefault="00AC4EEA" w:rsidP="00D53140">
            <w:pPr>
              <w:pStyle w:val="Body"/>
              <w:spacing w:before="0"/>
            </w:pPr>
            <w:r w:rsidRPr="002F0657">
              <w:t xml:space="preserve">Field contents are aligned to the left, and data start in the first position of each field. If data are not available, field positions are left blank. </w:t>
            </w:r>
            <w:r w:rsidR="00CB6BC7" w:rsidRPr="002F0657">
              <w:t xml:space="preserve">If applicable, sample frames for different product lines and products may be combined into one data file. Separate layouts are specified for the adult and child surveys; therefore, adult and child data may not be combined into one file. </w:t>
            </w:r>
          </w:p>
          <w:p w:rsidR="00CB6BC7" w:rsidRPr="002F0657" w:rsidRDefault="00CB6BC7" w:rsidP="00D53140">
            <w:pPr>
              <w:pStyle w:val="Body"/>
            </w:pPr>
            <w:r w:rsidRPr="002F0657">
              <w:t>Additional data elements requested by the survey vendor or provided by the health plan are appended to the end of the data file and are not reviewed during the HEDIS Compliance Audit.</w:t>
            </w:r>
          </w:p>
        </w:tc>
      </w:tr>
    </w:tbl>
    <w:p w:rsidR="00CB6BC7" w:rsidRPr="002F0657" w:rsidRDefault="00CB6BC7" w:rsidP="00CB6BC7">
      <w:pPr>
        <w:pStyle w:val="Heading3"/>
      </w:pPr>
      <w:r w:rsidRPr="002F0657">
        <w:t>Table S-1: Standardized Layout for Sample Frame Data File (Adult Survey)</w:t>
      </w:r>
    </w:p>
    <w:tbl>
      <w:tblPr>
        <w:tblW w:w="972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150"/>
        <w:gridCol w:w="840"/>
        <w:gridCol w:w="750"/>
        <w:gridCol w:w="750"/>
        <w:gridCol w:w="4230"/>
      </w:tblGrid>
      <w:tr w:rsidR="00CB6BC7" w:rsidRPr="002F0657" w:rsidTr="00D53140">
        <w:trPr>
          <w:cantSplit/>
          <w:tblHeader/>
        </w:trPr>
        <w:tc>
          <w:tcPr>
            <w:tcW w:w="3150" w:type="dxa"/>
            <w:vMerge w:val="restart"/>
            <w:tcBorders>
              <w:right w:val="single" w:sz="4" w:space="0" w:color="FFFFFF"/>
            </w:tcBorders>
            <w:shd w:val="clear" w:color="auto" w:fill="000000"/>
            <w:vAlign w:val="bottom"/>
          </w:tcPr>
          <w:p w:rsidR="00CB6BC7" w:rsidRPr="002F0657" w:rsidRDefault="00CB6BC7" w:rsidP="00D53140">
            <w:pPr>
              <w:pStyle w:val="TableHead"/>
              <w:rPr>
                <w:rFonts w:cs="Arial"/>
                <w:bCs/>
                <w:color w:val="auto"/>
                <w:u w:val="single"/>
              </w:rPr>
            </w:pPr>
            <w:r w:rsidRPr="002F0657">
              <w:rPr>
                <w:rFonts w:cs="Arial"/>
                <w:bCs/>
                <w:color w:val="auto"/>
              </w:rPr>
              <w:t>Required Data Element</w:t>
            </w:r>
          </w:p>
        </w:tc>
        <w:tc>
          <w:tcPr>
            <w:tcW w:w="2340" w:type="dxa"/>
            <w:gridSpan w:val="3"/>
            <w:tcBorders>
              <w:left w:val="single" w:sz="4" w:space="0" w:color="FFFFFF"/>
              <w:bottom w:val="single" w:sz="4" w:space="0" w:color="FFFFFF"/>
              <w:right w:val="single" w:sz="4" w:space="0" w:color="FFFFFF"/>
            </w:tcBorders>
            <w:shd w:val="clear" w:color="auto" w:fill="000000"/>
          </w:tcPr>
          <w:p w:rsidR="00CB6BC7" w:rsidRPr="002F0657" w:rsidRDefault="00CB6BC7" w:rsidP="00D53140">
            <w:pPr>
              <w:pStyle w:val="TableHead"/>
              <w:rPr>
                <w:rFonts w:cs="Arial"/>
                <w:bCs/>
                <w:color w:val="auto"/>
              </w:rPr>
            </w:pPr>
            <w:r w:rsidRPr="002F0657">
              <w:rPr>
                <w:rFonts w:cs="Arial"/>
                <w:bCs/>
                <w:color w:val="auto"/>
              </w:rPr>
              <w:t>Field Positions</w:t>
            </w:r>
          </w:p>
        </w:tc>
        <w:tc>
          <w:tcPr>
            <w:tcW w:w="4230" w:type="dxa"/>
            <w:vMerge w:val="restart"/>
            <w:tcBorders>
              <w:left w:val="single" w:sz="4" w:space="0" w:color="FFFFFF"/>
            </w:tcBorders>
            <w:shd w:val="clear" w:color="auto" w:fill="000000"/>
            <w:vAlign w:val="bottom"/>
          </w:tcPr>
          <w:p w:rsidR="00CB6BC7" w:rsidRPr="002F0657" w:rsidRDefault="00CB6BC7" w:rsidP="00D53140">
            <w:pPr>
              <w:pStyle w:val="TableHead"/>
              <w:rPr>
                <w:rFonts w:cs="Arial"/>
                <w:bCs/>
                <w:color w:val="auto"/>
                <w:u w:val="single"/>
              </w:rPr>
            </w:pPr>
            <w:r w:rsidRPr="002F0657">
              <w:rPr>
                <w:rFonts w:cs="Arial"/>
                <w:bCs/>
                <w:color w:val="auto"/>
              </w:rPr>
              <w:t>Value Labels</w:t>
            </w:r>
          </w:p>
        </w:tc>
      </w:tr>
      <w:tr w:rsidR="00CB6BC7" w:rsidRPr="002F0657" w:rsidTr="00D53140">
        <w:trPr>
          <w:cantSplit/>
          <w:tblHeader/>
        </w:trPr>
        <w:tc>
          <w:tcPr>
            <w:tcW w:w="3150" w:type="dxa"/>
            <w:vMerge/>
            <w:tcBorders>
              <w:right w:val="single" w:sz="4" w:space="0" w:color="FFFFFF"/>
            </w:tcBorders>
            <w:shd w:val="clear" w:color="auto" w:fill="000000"/>
          </w:tcPr>
          <w:p w:rsidR="00CB6BC7" w:rsidRPr="002F0657" w:rsidRDefault="00CB6BC7" w:rsidP="00D53140">
            <w:pPr>
              <w:pStyle w:val="TableHead"/>
              <w:jc w:val="left"/>
              <w:rPr>
                <w:rFonts w:cs="Arial"/>
                <w:bCs/>
                <w:color w:val="auto"/>
              </w:rPr>
            </w:pPr>
          </w:p>
        </w:tc>
        <w:tc>
          <w:tcPr>
            <w:tcW w:w="840" w:type="dxa"/>
            <w:tcBorders>
              <w:top w:val="single" w:sz="4" w:space="0" w:color="FFFFFF"/>
              <w:left w:val="single" w:sz="4" w:space="0" w:color="FFFFFF"/>
              <w:right w:val="single" w:sz="4" w:space="0" w:color="FFFFFF"/>
            </w:tcBorders>
            <w:shd w:val="clear" w:color="auto" w:fill="000000"/>
          </w:tcPr>
          <w:p w:rsidR="00CB6BC7" w:rsidRPr="002F0657" w:rsidRDefault="00CB6BC7" w:rsidP="00D53140">
            <w:pPr>
              <w:pStyle w:val="TableHead"/>
              <w:rPr>
                <w:rFonts w:cs="Arial"/>
                <w:bCs/>
                <w:color w:val="auto"/>
              </w:rPr>
            </w:pPr>
            <w:r w:rsidRPr="002F0657">
              <w:rPr>
                <w:rFonts w:cs="Arial"/>
                <w:bCs/>
                <w:color w:val="auto"/>
              </w:rPr>
              <w:t>Length</w:t>
            </w:r>
          </w:p>
        </w:tc>
        <w:tc>
          <w:tcPr>
            <w:tcW w:w="750" w:type="dxa"/>
            <w:tcBorders>
              <w:top w:val="single" w:sz="4" w:space="0" w:color="FFFFFF"/>
              <w:left w:val="single" w:sz="4" w:space="0" w:color="FFFFFF"/>
              <w:right w:val="single" w:sz="4" w:space="0" w:color="FFFFFF"/>
            </w:tcBorders>
            <w:shd w:val="clear" w:color="auto" w:fill="000000"/>
          </w:tcPr>
          <w:p w:rsidR="00CB6BC7" w:rsidRPr="002F0657" w:rsidRDefault="00CB6BC7" w:rsidP="00D53140">
            <w:pPr>
              <w:pStyle w:val="TableHead"/>
              <w:rPr>
                <w:rFonts w:cs="Arial"/>
                <w:bCs/>
                <w:color w:val="auto"/>
              </w:rPr>
            </w:pPr>
            <w:r w:rsidRPr="002F0657">
              <w:rPr>
                <w:rFonts w:cs="Arial"/>
                <w:bCs/>
                <w:color w:val="auto"/>
              </w:rPr>
              <w:t>Start</w:t>
            </w:r>
          </w:p>
        </w:tc>
        <w:tc>
          <w:tcPr>
            <w:tcW w:w="750" w:type="dxa"/>
            <w:tcBorders>
              <w:top w:val="single" w:sz="4" w:space="0" w:color="FFFFFF"/>
              <w:left w:val="single" w:sz="4" w:space="0" w:color="FFFFFF"/>
              <w:right w:val="single" w:sz="4" w:space="0" w:color="FFFFFF"/>
            </w:tcBorders>
            <w:shd w:val="clear" w:color="auto" w:fill="000000"/>
          </w:tcPr>
          <w:p w:rsidR="00CB6BC7" w:rsidRPr="002F0657" w:rsidRDefault="00CB6BC7" w:rsidP="00D53140">
            <w:pPr>
              <w:pStyle w:val="TableHead"/>
              <w:rPr>
                <w:rFonts w:cs="Arial"/>
                <w:bCs/>
                <w:color w:val="auto"/>
              </w:rPr>
            </w:pPr>
            <w:r w:rsidRPr="002F0657">
              <w:rPr>
                <w:rFonts w:cs="Arial"/>
                <w:bCs/>
                <w:color w:val="auto"/>
              </w:rPr>
              <w:t>End</w:t>
            </w:r>
          </w:p>
        </w:tc>
        <w:tc>
          <w:tcPr>
            <w:tcW w:w="4230" w:type="dxa"/>
            <w:vMerge/>
            <w:tcBorders>
              <w:left w:val="single" w:sz="4" w:space="0" w:color="FFFFFF"/>
            </w:tcBorders>
            <w:shd w:val="clear" w:color="auto" w:fill="000000"/>
          </w:tcPr>
          <w:p w:rsidR="00CB6BC7" w:rsidRPr="002F0657" w:rsidRDefault="00CB6BC7" w:rsidP="00D53140">
            <w:pPr>
              <w:pStyle w:val="TableHead"/>
              <w:jc w:val="left"/>
              <w:rPr>
                <w:rFonts w:cs="Arial"/>
                <w:bCs/>
                <w:color w:val="auto"/>
              </w:rPr>
            </w:pPr>
          </w:p>
        </w:tc>
      </w:tr>
      <w:tr w:rsidR="00CB6BC7" w:rsidRPr="002F0657" w:rsidTr="00D53140">
        <w:trPr>
          <w:cantSplit/>
        </w:trPr>
        <w:tc>
          <w:tcPr>
            <w:tcW w:w="3150" w:type="dxa"/>
          </w:tcPr>
          <w:p w:rsidR="00CB6BC7" w:rsidRPr="002F0657" w:rsidRDefault="00CB6BC7" w:rsidP="00D53140">
            <w:pPr>
              <w:pStyle w:val="TableText"/>
            </w:pPr>
            <w:r w:rsidRPr="002F0657">
              <w:t>Health care organization name</w:t>
            </w:r>
          </w:p>
        </w:tc>
        <w:tc>
          <w:tcPr>
            <w:tcW w:w="840" w:type="dxa"/>
          </w:tcPr>
          <w:p w:rsidR="00CB6BC7" w:rsidRPr="002F0657" w:rsidRDefault="00CB6BC7" w:rsidP="00D53140">
            <w:pPr>
              <w:pStyle w:val="TableText"/>
              <w:tabs>
                <w:tab w:val="decimal" w:pos="343"/>
              </w:tabs>
            </w:pPr>
            <w:r w:rsidRPr="002F0657">
              <w:t>60</w:t>
            </w:r>
          </w:p>
        </w:tc>
        <w:tc>
          <w:tcPr>
            <w:tcW w:w="750" w:type="dxa"/>
          </w:tcPr>
          <w:p w:rsidR="00CB6BC7" w:rsidRPr="002F0657" w:rsidRDefault="00CB6BC7" w:rsidP="00D53140">
            <w:pPr>
              <w:pStyle w:val="TableText"/>
              <w:tabs>
                <w:tab w:val="decimal" w:pos="343"/>
              </w:tabs>
            </w:pPr>
            <w:r w:rsidRPr="002F0657">
              <w:t>1</w:t>
            </w:r>
          </w:p>
        </w:tc>
        <w:tc>
          <w:tcPr>
            <w:tcW w:w="750" w:type="dxa"/>
          </w:tcPr>
          <w:p w:rsidR="00CB6BC7" w:rsidRPr="002F0657" w:rsidRDefault="00CB6BC7" w:rsidP="00D53140">
            <w:pPr>
              <w:pStyle w:val="TableText"/>
              <w:tabs>
                <w:tab w:val="decimal" w:pos="343"/>
              </w:tabs>
            </w:pPr>
            <w:r w:rsidRPr="002F0657">
              <w:t>60</w:t>
            </w:r>
          </w:p>
        </w:tc>
        <w:tc>
          <w:tcPr>
            <w:tcW w:w="4230" w:type="dxa"/>
          </w:tcPr>
          <w:p w:rsidR="00CB6BC7" w:rsidRPr="002F0657" w:rsidRDefault="00CB6BC7" w:rsidP="00D53140">
            <w:pPr>
              <w:pStyle w:val="TableText"/>
            </w:pPr>
          </w:p>
        </w:tc>
      </w:tr>
      <w:tr w:rsidR="00CB6BC7" w:rsidRPr="002F0657" w:rsidTr="00D53140">
        <w:trPr>
          <w:cantSplit/>
        </w:trPr>
        <w:tc>
          <w:tcPr>
            <w:tcW w:w="3150" w:type="dxa"/>
            <w:shd w:val="clear" w:color="auto" w:fill="E0E0E0"/>
          </w:tcPr>
          <w:p w:rsidR="00CB6BC7" w:rsidRPr="002F0657" w:rsidRDefault="00CB6BC7" w:rsidP="00D53140">
            <w:pPr>
              <w:pStyle w:val="TableText"/>
            </w:pPr>
            <w:r w:rsidRPr="002F0657">
              <w:t>Member product line*</w:t>
            </w:r>
          </w:p>
        </w:tc>
        <w:tc>
          <w:tcPr>
            <w:tcW w:w="840" w:type="dxa"/>
            <w:shd w:val="clear" w:color="auto" w:fill="E0E0E0"/>
          </w:tcPr>
          <w:p w:rsidR="00CB6BC7" w:rsidRPr="002F0657" w:rsidRDefault="00CB6BC7" w:rsidP="00D53140">
            <w:pPr>
              <w:pStyle w:val="TableText"/>
              <w:tabs>
                <w:tab w:val="decimal" w:pos="343"/>
              </w:tabs>
            </w:pPr>
            <w:r w:rsidRPr="002F0657">
              <w:t>1</w:t>
            </w:r>
          </w:p>
        </w:tc>
        <w:tc>
          <w:tcPr>
            <w:tcW w:w="750" w:type="dxa"/>
            <w:shd w:val="clear" w:color="auto" w:fill="E0E0E0"/>
          </w:tcPr>
          <w:p w:rsidR="00CB6BC7" w:rsidRPr="002F0657" w:rsidRDefault="00CB6BC7" w:rsidP="00D53140">
            <w:pPr>
              <w:pStyle w:val="TableText"/>
              <w:tabs>
                <w:tab w:val="decimal" w:pos="343"/>
              </w:tabs>
            </w:pPr>
            <w:r w:rsidRPr="002F0657">
              <w:t>61</w:t>
            </w:r>
          </w:p>
        </w:tc>
        <w:tc>
          <w:tcPr>
            <w:tcW w:w="750" w:type="dxa"/>
            <w:shd w:val="clear" w:color="auto" w:fill="E0E0E0"/>
          </w:tcPr>
          <w:p w:rsidR="00CB6BC7" w:rsidRPr="002F0657" w:rsidRDefault="00CB6BC7" w:rsidP="00D53140">
            <w:pPr>
              <w:pStyle w:val="TableText"/>
              <w:tabs>
                <w:tab w:val="decimal" w:pos="343"/>
              </w:tabs>
            </w:pPr>
            <w:r w:rsidRPr="002F0657">
              <w:t>61</w:t>
            </w:r>
          </w:p>
        </w:tc>
        <w:tc>
          <w:tcPr>
            <w:tcW w:w="4230" w:type="dxa"/>
            <w:shd w:val="clear" w:color="auto" w:fill="E0E0E0"/>
          </w:tcPr>
          <w:p w:rsidR="00CB6BC7" w:rsidRPr="002F0657" w:rsidRDefault="00CB6BC7" w:rsidP="00D53140">
            <w:pPr>
              <w:pStyle w:val="TableText"/>
            </w:pPr>
            <w:r w:rsidRPr="002F0657">
              <w:t>1 = Commercial</w:t>
            </w:r>
            <w:r w:rsidRPr="002F0657">
              <w:br/>
              <w:t>2 = Medicaid</w:t>
            </w:r>
          </w:p>
        </w:tc>
      </w:tr>
      <w:tr w:rsidR="00CB6BC7" w:rsidRPr="002F0657" w:rsidTr="00D53140">
        <w:trPr>
          <w:cantSplit/>
        </w:trPr>
        <w:tc>
          <w:tcPr>
            <w:tcW w:w="3150" w:type="dxa"/>
          </w:tcPr>
          <w:p w:rsidR="00CB6BC7" w:rsidRPr="002F0657" w:rsidRDefault="00CB6BC7" w:rsidP="00D53140">
            <w:pPr>
              <w:pStyle w:val="TableText"/>
            </w:pPr>
            <w:r w:rsidRPr="002F0657">
              <w:t>Member product*</w:t>
            </w:r>
          </w:p>
        </w:tc>
        <w:tc>
          <w:tcPr>
            <w:tcW w:w="840" w:type="dxa"/>
          </w:tcPr>
          <w:p w:rsidR="00CB6BC7" w:rsidRPr="002F0657" w:rsidRDefault="00CB6BC7" w:rsidP="00D53140">
            <w:pPr>
              <w:pStyle w:val="TableText"/>
              <w:tabs>
                <w:tab w:val="decimal" w:pos="343"/>
              </w:tabs>
            </w:pPr>
            <w:r w:rsidRPr="002F0657">
              <w:t>1</w:t>
            </w:r>
          </w:p>
        </w:tc>
        <w:tc>
          <w:tcPr>
            <w:tcW w:w="750" w:type="dxa"/>
          </w:tcPr>
          <w:p w:rsidR="00CB6BC7" w:rsidRPr="002F0657" w:rsidRDefault="00CB6BC7" w:rsidP="00D53140">
            <w:pPr>
              <w:pStyle w:val="TableText"/>
              <w:tabs>
                <w:tab w:val="decimal" w:pos="343"/>
              </w:tabs>
            </w:pPr>
            <w:r w:rsidRPr="002F0657">
              <w:t>62</w:t>
            </w:r>
          </w:p>
        </w:tc>
        <w:tc>
          <w:tcPr>
            <w:tcW w:w="750" w:type="dxa"/>
          </w:tcPr>
          <w:p w:rsidR="00CB6BC7" w:rsidRPr="002F0657" w:rsidRDefault="00CB6BC7" w:rsidP="00D53140">
            <w:pPr>
              <w:pStyle w:val="TableText"/>
              <w:tabs>
                <w:tab w:val="decimal" w:pos="343"/>
              </w:tabs>
            </w:pPr>
            <w:r w:rsidRPr="002F0657">
              <w:t>62</w:t>
            </w:r>
          </w:p>
        </w:tc>
        <w:tc>
          <w:tcPr>
            <w:tcW w:w="4230" w:type="dxa"/>
          </w:tcPr>
          <w:p w:rsidR="00CB6BC7" w:rsidRPr="002F0657" w:rsidRDefault="00CB6BC7" w:rsidP="00D53140">
            <w:pPr>
              <w:pStyle w:val="TableText"/>
            </w:pPr>
            <w:r w:rsidRPr="002F0657">
              <w:t>1 = HMO</w:t>
            </w:r>
            <w:r w:rsidRPr="002F0657">
              <w:br/>
              <w:t>2 = POS</w:t>
            </w:r>
            <w:r w:rsidRPr="002F0657">
              <w:br/>
              <w:t>3 = PPO</w:t>
            </w:r>
          </w:p>
        </w:tc>
      </w:tr>
      <w:tr w:rsidR="00CB6BC7" w:rsidRPr="002F0657" w:rsidTr="00D53140">
        <w:trPr>
          <w:cantSplit/>
        </w:trPr>
        <w:tc>
          <w:tcPr>
            <w:tcW w:w="3150" w:type="dxa"/>
            <w:shd w:val="clear" w:color="auto" w:fill="E0E0E0"/>
          </w:tcPr>
          <w:p w:rsidR="00CB6BC7" w:rsidRPr="002F0657" w:rsidRDefault="00CB6BC7" w:rsidP="00D53140">
            <w:pPr>
              <w:pStyle w:val="TableText"/>
            </w:pPr>
            <w:r w:rsidRPr="002F0657">
              <w:t>Subscriber or family ID number</w:t>
            </w:r>
          </w:p>
        </w:tc>
        <w:tc>
          <w:tcPr>
            <w:tcW w:w="840" w:type="dxa"/>
            <w:shd w:val="clear" w:color="auto" w:fill="E0E0E0"/>
          </w:tcPr>
          <w:p w:rsidR="00CB6BC7" w:rsidRPr="002F0657" w:rsidRDefault="00CB6BC7" w:rsidP="00D53140">
            <w:pPr>
              <w:pStyle w:val="TableText"/>
              <w:tabs>
                <w:tab w:val="decimal" w:pos="343"/>
              </w:tabs>
            </w:pPr>
            <w:r w:rsidRPr="002F0657">
              <w:t>25</w:t>
            </w:r>
          </w:p>
        </w:tc>
        <w:tc>
          <w:tcPr>
            <w:tcW w:w="750" w:type="dxa"/>
            <w:shd w:val="clear" w:color="auto" w:fill="E0E0E0"/>
          </w:tcPr>
          <w:p w:rsidR="00CB6BC7" w:rsidRPr="002F0657" w:rsidRDefault="00CB6BC7" w:rsidP="00D53140">
            <w:pPr>
              <w:pStyle w:val="TableText"/>
              <w:tabs>
                <w:tab w:val="decimal" w:pos="343"/>
              </w:tabs>
            </w:pPr>
            <w:r w:rsidRPr="002F0657">
              <w:t>63</w:t>
            </w:r>
          </w:p>
        </w:tc>
        <w:tc>
          <w:tcPr>
            <w:tcW w:w="750" w:type="dxa"/>
            <w:shd w:val="clear" w:color="auto" w:fill="E0E0E0"/>
          </w:tcPr>
          <w:p w:rsidR="00CB6BC7" w:rsidRPr="002F0657" w:rsidRDefault="00CB6BC7" w:rsidP="00D53140">
            <w:pPr>
              <w:pStyle w:val="TableText"/>
              <w:tabs>
                <w:tab w:val="decimal" w:pos="343"/>
              </w:tabs>
            </w:pPr>
            <w:r w:rsidRPr="002F0657">
              <w:t>87</w:t>
            </w:r>
          </w:p>
        </w:tc>
        <w:tc>
          <w:tcPr>
            <w:tcW w:w="4230" w:type="dxa"/>
            <w:shd w:val="clear" w:color="auto" w:fill="E0E0E0"/>
          </w:tcPr>
          <w:p w:rsidR="00CB6BC7" w:rsidRPr="002F0657" w:rsidRDefault="00CB6BC7" w:rsidP="00D53140">
            <w:pPr>
              <w:pStyle w:val="TableText"/>
            </w:pPr>
          </w:p>
        </w:tc>
      </w:tr>
      <w:tr w:rsidR="00CB6BC7" w:rsidRPr="002F0657" w:rsidTr="00D53140">
        <w:trPr>
          <w:cantSplit/>
        </w:trPr>
        <w:tc>
          <w:tcPr>
            <w:tcW w:w="3150" w:type="dxa"/>
          </w:tcPr>
          <w:p w:rsidR="00CB6BC7" w:rsidRPr="002F0657" w:rsidRDefault="00CB6BC7" w:rsidP="00D53140">
            <w:pPr>
              <w:pStyle w:val="TableText"/>
            </w:pPr>
            <w:r w:rsidRPr="002F0657">
              <w:t>Member-unique ID</w:t>
            </w:r>
          </w:p>
        </w:tc>
        <w:tc>
          <w:tcPr>
            <w:tcW w:w="840" w:type="dxa"/>
          </w:tcPr>
          <w:p w:rsidR="00CB6BC7" w:rsidRPr="002F0657" w:rsidRDefault="00CB6BC7" w:rsidP="00D53140">
            <w:pPr>
              <w:pStyle w:val="TableText"/>
              <w:tabs>
                <w:tab w:val="decimal" w:pos="343"/>
              </w:tabs>
            </w:pPr>
            <w:r w:rsidRPr="002F0657">
              <w:t>25</w:t>
            </w:r>
          </w:p>
        </w:tc>
        <w:tc>
          <w:tcPr>
            <w:tcW w:w="750" w:type="dxa"/>
          </w:tcPr>
          <w:p w:rsidR="00CB6BC7" w:rsidRPr="002F0657" w:rsidRDefault="00CB6BC7" w:rsidP="00D53140">
            <w:pPr>
              <w:pStyle w:val="TableText"/>
              <w:tabs>
                <w:tab w:val="decimal" w:pos="343"/>
              </w:tabs>
            </w:pPr>
            <w:r w:rsidRPr="002F0657">
              <w:t>88</w:t>
            </w:r>
          </w:p>
        </w:tc>
        <w:tc>
          <w:tcPr>
            <w:tcW w:w="750" w:type="dxa"/>
          </w:tcPr>
          <w:p w:rsidR="00CB6BC7" w:rsidRPr="002F0657" w:rsidRDefault="00CB6BC7" w:rsidP="00D53140">
            <w:pPr>
              <w:pStyle w:val="TableText"/>
              <w:tabs>
                <w:tab w:val="decimal" w:pos="343"/>
              </w:tabs>
            </w:pPr>
            <w:r w:rsidRPr="002F0657">
              <w:t>112</w:t>
            </w:r>
          </w:p>
        </w:tc>
        <w:tc>
          <w:tcPr>
            <w:tcW w:w="4230" w:type="dxa"/>
          </w:tcPr>
          <w:p w:rsidR="00CB6BC7" w:rsidRPr="002F0657" w:rsidRDefault="00CB6BC7" w:rsidP="00D53140">
            <w:pPr>
              <w:pStyle w:val="TableText"/>
            </w:pPr>
            <w:r w:rsidRPr="002F0657">
              <w:t>This ID differentiates between individuals when family members share the subscriber ID</w:t>
            </w:r>
          </w:p>
        </w:tc>
      </w:tr>
      <w:tr w:rsidR="00CB6BC7" w:rsidRPr="002F0657" w:rsidTr="00D53140">
        <w:trPr>
          <w:cantSplit/>
        </w:trPr>
        <w:tc>
          <w:tcPr>
            <w:tcW w:w="3150" w:type="dxa"/>
            <w:shd w:val="clear" w:color="auto" w:fill="E0E0E0"/>
          </w:tcPr>
          <w:p w:rsidR="00CB6BC7" w:rsidRPr="002F0657" w:rsidRDefault="00CB6BC7" w:rsidP="00D53140">
            <w:pPr>
              <w:pStyle w:val="TableText"/>
            </w:pPr>
            <w:r w:rsidRPr="002F0657">
              <w:t>Member first name</w:t>
            </w:r>
          </w:p>
        </w:tc>
        <w:tc>
          <w:tcPr>
            <w:tcW w:w="840" w:type="dxa"/>
            <w:shd w:val="clear" w:color="auto" w:fill="E0E0E0"/>
          </w:tcPr>
          <w:p w:rsidR="00CB6BC7" w:rsidRPr="002F0657" w:rsidRDefault="00CB6BC7" w:rsidP="00D53140">
            <w:pPr>
              <w:pStyle w:val="TableText"/>
              <w:tabs>
                <w:tab w:val="decimal" w:pos="343"/>
              </w:tabs>
            </w:pPr>
            <w:r w:rsidRPr="002F0657">
              <w:t>25</w:t>
            </w:r>
          </w:p>
        </w:tc>
        <w:tc>
          <w:tcPr>
            <w:tcW w:w="750" w:type="dxa"/>
            <w:shd w:val="clear" w:color="auto" w:fill="E0E0E0"/>
          </w:tcPr>
          <w:p w:rsidR="00CB6BC7" w:rsidRPr="002F0657" w:rsidRDefault="00CB6BC7" w:rsidP="00D53140">
            <w:pPr>
              <w:pStyle w:val="TableText"/>
              <w:tabs>
                <w:tab w:val="decimal" w:pos="343"/>
              </w:tabs>
            </w:pPr>
            <w:r w:rsidRPr="002F0657">
              <w:t>113</w:t>
            </w:r>
          </w:p>
        </w:tc>
        <w:tc>
          <w:tcPr>
            <w:tcW w:w="750" w:type="dxa"/>
            <w:shd w:val="clear" w:color="auto" w:fill="E0E0E0"/>
          </w:tcPr>
          <w:p w:rsidR="00CB6BC7" w:rsidRPr="002F0657" w:rsidRDefault="00CB6BC7" w:rsidP="00D53140">
            <w:pPr>
              <w:pStyle w:val="TableText"/>
              <w:tabs>
                <w:tab w:val="decimal" w:pos="343"/>
              </w:tabs>
            </w:pPr>
            <w:r w:rsidRPr="002F0657">
              <w:t>137</w:t>
            </w:r>
          </w:p>
        </w:tc>
        <w:tc>
          <w:tcPr>
            <w:tcW w:w="4230" w:type="dxa"/>
            <w:shd w:val="clear" w:color="auto" w:fill="E0E0E0"/>
          </w:tcPr>
          <w:p w:rsidR="00CB6BC7" w:rsidRPr="002F0657" w:rsidRDefault="00CB6BC7" w:rsidP="00D53140">
            <w:pPr>
              <w:pStyle w:val="TableText"/>
            </w:pPr>
          </w:p>
        </w:tc>
      </w:tr>
      <w:tr w:rsidR="00CB6BC7" w:rsidRPr="002F0657" w:rsidTr="00D53140">
        <w:trPr>
          <w:cantSplit/>
        </w:trPr>
        <w:tc>
          <w:tcPr>
            <w:tcW w:w="3150" w:type="dxa"/>
          </w:tcPr>
          <w:p w:rsidR="00CB6BC7" w:rsidRPr="002F0657" w:rsidRDefault="00CB6BC7" w:rsidP="00D53140">
            <w:pPr>
              <w:pStyle w:val="TableText"/>
            </w:pPr>
            <w:r w:rsidRPr="002F0657">
              <w:t>Member middle initial</w:t>
            </w:r>
          </w:p>
        </w:tc>
        <w:tc>
          <w:tcPr>
            <w:tcW w:w="840" w:type="dxa"/>
          </w:tcPr>
          <w:p w:rsidR="00CB6BC7" w:rsidRPr="002F0657" w:rsidRDefault="00CB6BC7" w:rsidP="00D53140">
            <w:pPr>
              <w:pStyle w:val="TableText"/>
              <w:tabs>
                <w:tab w:val="decimal" w:pos="343"/>
              </w:tabs>
            </w:pPr>
            <w:r w:rsidRPr="002F0657">
              <w:t>1</w:t>
            </w:r>
          </w:p>
        </w:tc>
        <w:tc>
          <w:tcPr>
            <w:tcW w:w="750" w:type="dxa"/>
          </w:tcPr>
          <w:p w:rsidR="00CB6BC7" w:rsidRPr="002F0657" w:rsidRDefault="00CB6BC7" w:rsidP="00D53140">
            <w:pPr>
              <w:pStyle w:val="TableText"/>
              <w:tabs>
                <w:tab w:val="decimal" w:pos="343"/>
              </w:tabs>
            </w:pPr>
            <w:r w:rsidRPr="002F0657">
              <w:t>138</w:t>
            </w:r>
          </w:p>
        </w:tc>
        <w:tc>
          <w:tcPr>
            <w:tcW w:w="750" w:type="dxa"/>
          </w:tcPr>
          <w:p w:rsidR="00CB6BC7" w:rsidRPr="002F0657" w:rsidRDefault="00CB6BC7" w:rsidP="00D53140">
            <w:pPr>
              <w:pStyle w:val="TableText"/>
              <w:tabs>
                <w:tab w:val="decimal" w:pos="343"/>
              </w:tabs>
            </w:pPr>
            <w:r w:rsidRPr="002F0657">
              <w:t>138</w:t>
            </w:r>
          </w:p>
        </w:tc>
        <w:tc>
          <w:tcPr>
            <w:tcW w:w="4230" w:type="dxa"/>
          </w:tcPr>
          <w:p w:rsidR="00CB6BC7" w:rsidRPr="002F0657" w:rsidRDefault="00CB6BC7" w:rsidP="00D53140">
            <w:pPr>
              <w:pStyle w:val="TableText"/>
            </w:pPr>
          </w:p>
        </w:tc>
      </w:tr>
      <w:tr w:rsidR="00CB6BC7" w:rsidRPr="002F0657" w:rsidTr="00D53140">
        <w:trPr>
          <w:cantSplit/>
        </w:trPr>
        <w:tc>
          <w:tcPr>
            <w:tcW w:w="3150" w:type="dxa"/>
            <w:shd w:val="clear" w:color="auto" w:fill="E0E0E0"/>
          </w:tcPr>
          <w:p w:rsidR="00CB6BC7" w:rsidRPr="002F0657" w:rsidRDefault="00CB6BC7" w:rsidP="00D53140">
            <w:pPr>
              <w:pStyle w:val="TableText"/>
            </w:pPr>
            <w:r w:rsidRPr="002F0657">
              <w:t>Member last name</w:t>
            </w:r>
          </w:p>
        </w:tc>
        <w:tc>
          <w:tcPr>
            <w:tcW w:w="840" w:type="dxa"/>
            <w:shd w:val="clear" w:color="auto" w:fill="E0E0E0"/>
          </w:tcPr>
          <w:p w:rsidR="00CB6BC7" w:rsidRPr="002F0657" w:rsidRDefault="00CB6BC7" w:rsidP="00D53140">
            <w:pPr>
              <w:pStyle w:val="TableText"/>
              <w:tabs>
                <w:tab w:val="decimal" w:pos="343"/>
              </w:tabs>
            </w:pPr>
            <w:r w:rsidRPr="002F0657">
              <w:t>25</w:t>
            </w:r>
          </w:p>
        </w:tc>
        <w:tc>
          <w:tcPr>
            <w:tcW w:w="750" w:type="dxa"/>
            <w:shd w:val="clear" w:color="auto" w:fill="E0E0E0"/>
          </w:tcPr>
          <w:p w:rsidR="00CB6BC7" w:rsidRPr="002F0657" w:rsidRDefault="00CB6BC7" w:rsidP="00D53140">
            <w:pPr>
              <w:pStyle w:val="TableText"/>
              <w:tabs>
                <w:tab w:val="decimal" w:pos="343"/>
              </w:tabs>
            </w:pPr>
            <w:r w:rsidRPr="002F0657">
              <w:t>139</w:t>
            </w:r>
          </w:p>
        </w:tc>
        <w:tc>
          <w:tcPr>
            <w:tcW w:w="750" w:type="dxa"/>
            <w:shd w:val="clear" w:color="auto" w:fill="E0E0E0"/>
          </w:tcPr>
          <w:p w:rsidR="00CB6BC7" w:rsidRPr="002F0657" w:rsidRDefault="00CB6BC7" w:rsidP="00D53140">
            <w:pPr>
              <w:pStyle w:val="TableText"/>
              <w:tabs>
                <w:tab w:val="decimal" w:pos="343"/>
              </w:tabs>
            </w:pPr>
            <w:r w:rsidRPr="002F0657">
              <w:t>163</w:t>
            </w:r>
          </w:p>
        </w:tc>
        <w:tc>
          <w:tcPr>
            <w:tcW w:w="4230" w:type="dxa"/>
            <w:shd w:val="clear" w:color="auto" w:fill="E0E0E0"/>
          </w:tcPr>
          <w:p w:rsidR="00CB6BC7" w:rsidRPr="002F0657" w:rsidRDefault="00CB6BC7" w:rsidP="00D53140">
            <w:pPr>
              <w:pStyle w:val="TableText"/>
            </w:pPr>
          </w:p>
        </w:tc>
      </w:tr>
      <w:tr w:rsidR="00CB6BC7" w:rsidRPr="002F0657" w:rsidTr="00D53140">
        <w:trPr>
          <w:cantSplit/>
        </w:trPr>
        <w:tc>
          <w:tcPr>
            <w:tcW w:w="3150" w:type="dxa"/>
          </w:tcPr>
          <w:p w:rsidR="00CB6BC7" w:rsidRPr="002F0657" w:rsidRDefault="00CB6BC7" w:rsidP="00D53140">
            <w:pPr>
              <w:pStyle w:val="TableText"/>
            </w:pPr>
            <w:r w:rsidRPr="002F0657">
              <w:t>Member gender*</w:t>
            </w:r>
          </w:p>
        </w:tc>
        <w:tc>
          <w:tcPr>
            <w:tcW w:w="840" w:type="dxa"/>
          </w:tcPr>
          <w:p w:rsidR="00CB6BC7" w:rsidRPr="002F0657" w:rsidRDefault="00CB6BC7" w:rsidP="00D53140">
            <w:pPr>
              <w:pStyle w:val="TableText"/>
              <w:tabs>
                <w:tab w:val="decimal" w:pos="343"/>
              </w:tabs>
            </w:pPr>
            <w:r w:rsidRPr="002F0657">
              <w:t>1</w:t>
            </w:r>
          </w:p>
        </w:tc>
        <w:tc>
          <w:tcPr>
            <w:tcW w:w="750" w:type="dxa"/>
          </w:tcPr>
          <w:p w:rsidR="00CB6BC7" w:rsidRPr="002F0657" w:rsidRDefault="00CB6BC7" w:rsidP="00D53140">
            <w:pPr>
              <w:pStyle w:val="TableText"/>
              <w:tabs>
                <w:tab w:val="decimal" w:pos="343"/>
              </w:tabs>
            </w:pPr>
            <w:r w:rsidRPr="002F0657">
              <w:t>164</w:t>
            </w:r>
          </w:p>
        </w:tc>
        <w:tc>
          <w:tcPr>
            <w:tcW w:w="750" w:type="dxa"/>
          </w:tcPr>
          <w:p w:rsidR="00CB6BC7" w:rsidRPr="002F0657" w:rsidRDefault="00CB6BC7" w:rsidP="00D53140">
            <w:pPr>
              <w:pStyle w:val="TableText"/>
              <w:tabs>
                <w:tab w:val="decimal" w:pos="343"/>
              </w:tabs>
            </w:pPr>
            <w:r w:rsidRPr="002F0657">
              <w:t>164</w:t>
            </w:r>
          </w:p>
        </w:tc>
        <w:tc>
          <w:tcPr>
            <w:tcW w:w="4230" w:type="dxa"/>
          </w:tcPr>
          <w:p w:rsidR="00CB6BC7" w:rsidRPr="002F0657" w:rsidRDefault="00CB6BC7" w:rsidP="00D53140">
            <w:pPr>
              <w:pStyle w:val="TableText"/>
            </w:pPr>
            <w:r w:rsidRPr="002F0657">
              <w:t>1 = Male</w:t>
            </w:r>
            <w:r w:rsidRPr="002F0657">
              <w:br/>
              <w:t>2 = Female</w:t>
            </w:r>
            <w:r w:rsidRPr="002F0657">
              <w:br/>
              <w:t>9 = Missing/not available</w:t>
            </w:r>
          </w:p>
        </w:tc>
      </w:tr>
      <w:tr w:rsidR="00CB6BC7" w:rsidRPr="002F0657" w:rsidTr="00D53140">
        <w:trPr>
          <w:cantSplit/>
        </w:trPr>
        <w:tc>
          <w:tcPr>
            <w:tcW w:w="3150" w:type="dxa"/>
            <w:shd w:val="clear" w:color="auto" w:fill="E0E0E0"/>
          </w:tcPr>
          <w:p w:rsidR="00CB6BC7" w:rsidRPr="002F0657" w:rsidRDefault="00CB6BC7" w:rsidP="00D53140">
            <w:pPr>
              <w:pStyle w:val="TableText"/>
            </w:pPr>
            <w:r w:rsidRPr="002F0657">
              <w:t>Member date of birth</w:t>
            </w:r>
          </w:p>
        </w:tc>
        <w:tc>
          <w:tcPr>
            <w:tcW w:w="840" w:type="dxa"/>
            <w:shd w:val="clear" w:color="auto" w:fill="E0E0E0"/>
          </w:tcPr>
          <w:p w:rsidR="00CB6BC7" w:rsidRPr="002F0657" w:rsidRDefault="00CB6BC7" w:rsidP="00D53140">
            <w:pPr>
              <w:pStyle w:val="TableText"/>
              <w:tabs>
                <w:tab w:val="decimal" w:pos="343"/>
              </w:tabs>
            </w:pPr>
            <w:r w:rsidRPr="002F0657">
              <w:t>8</w:t>
            </w:r>
          </w:p>
        </w:tc>
        <w:tc>
          <w:tcPr>
            <w:tcW w:w="750" w:type="dxa"/>
            <w:shd w:val="clear" w:color="auto" w:fill="E0E0E0"/>
          </w:tcPr>
          <w:p w:rsidR="00CB6BC7" w:rsidRPr="002F0657" w:rsidRDefault="00CB6BC7" w:rsidP="00D53140">
            <w:pPr>
              <w:pStyle w:val="TableText"/>
              <w:tabs>
                <w:tab w:val="decimal" w:pos="343"/>
              </w:tabs>
            </w:pPr>
            <w:r w:rsidRPr="002F0657">
              <w:t>165</w:t>
            </w:r>
          </w:p>
        </w:tc>
        <w:tc>
          <w:tcPr>
            <w:tcW w:w="750" w:type="dxa"/>
            <w:shd w:val="clear" w:color="auto" w:fill="E0E0E0"/>
          </w:tcPr>
          <w:p w:rsidR="00CB6BC7" w:rsidRPr="002F0657" w:rsidRDefault="00CB6BC7" w:rsidP="00D53140">
            <w:pPr>
              <w:pStyle w:val="TableText"/>
              <w:tabs>
                <w:tab w:val="decimal" w:pos="343"/>
              </w:tabs>
            </w:pPr>
            <w:r w:rsidRPr="002F0657">
              <w:t>172</w:t>
            </w:r>
          </w:p>
        </w:tc>
        <w:tc>
          <w:tcPr>
            <w:tcW w:w="4230" w:type="dxa"/>
            <w:shd w:val="clear" w:color="auto" w:fill="E0E0E0"/>
          </w:tcPr>
          <w:p w:rsidR="00CB6BC7" w:rsidRPr="002F0657" w:rsidRDefault="00CB6BC7" w:rsidP="00D53140">
            <w:pPr>
              <w:pStyle w:val="TableText"/>
            </w:pPr>
            <w:r w:rsidRPr="002F0657">
              <w:t>MMDDYYYY</w:t>
            </w:r>
          </w:p>
        </w:tc>
      </w:tr>
      <w:tr w:rsidR="00CB6BC7" w:rsidRPr="002F0657" w:rsidTr="00D53140">
        <w:trPr>
          <w:cantSplit/>
        </w:trPr>
        <w:tc>
          <w:tcPr>
            <w:tcW w:w="3150" w:type="dxa"/>
          </w:tcPr>
          <w:p w:rsidR="00CB6BC7" w:rsidRPr="002F0657" w:rsidRDefault="00CB6BC7" w:rsidP="00D53140">
            <w:pPr>
              <w:pStyle w:val="TableText"/>
            </w:pPr>
            <w:r w:rsidRPr="002F0657">
              <w:t>Member mailing address 1</w:t>
            </w:r>
          </w:p>
        </w:tc>
        <w:tc>
          <w:tcPr>
            <w:tcW w:w="840" w:type="dxa"/>
          </w:tcPr>
          <w:p w:rsidR="00CB6BC7" w:rsidRPr="002F0657" w:rsidRDefault="00CB6BC7" w:rsidP="00D53140">
            <w:pPr>
              <w:pStyle w:val="TableText"/>
              <w:tabs>
                <w:tab w:val="decimal" w:pos="343"/>
              </w:tabs>
            </w:pPr>
            <w:r w:rsidRPr="002F0657">
              <w:t>50</w:t>
            </w:r>
          </w:p>
        </w:tc>
        <w:tc>
          <w:tcPr>
            <w:tcW w:w="750" w:type="dxa"/>
          </w:tcPr>
          <w:p w:rsidR="00CB6BC7" w:rsidRPr="002F0657" w:rsidRDefault="00CB6BC7" w:rsidP="00D53140">
            <w:pPr>
              <w:pStyle w:val="TableText"/>
              <w:tabs>
                <w:tab w:val="decimal" w:pos="343"/>
              </w:tabs>
            </w:pPr>
            <w:r w:rsidRPr="002F0657">
              <w:t>173</w:t>
            </w:r>
          </w:p>
        </w:tc>
        <w:tc>
          <w:tcPr>
            <w:tcW w:w="750" w:type="dxa"/>
          </w:tcPr>
          <w:p w:rsidR="00CB6BC7" w:rsidRPr="002F0657" w:rsidRDefault="00CB6BC7" w:rsidP="00D53140">
            <w:pPr>
              <w:pStyle w:val="TableText"/>
              <w:tabs>
                <w:tab w:val="decimal" w:pos="343"/>
              </w:tabs>
            </w:pPr>
            <w:r w:rsidRPr="002F0657">
              <w:t>222</w:t>
            </w:r>
          </w:p>
        </w:tc>
        <w:tc>
          <w:tcPr>
            <w:tcW w:w="4230" w:type="dxa"/>
          </w:tcPr>
          <w:p w:rsidR="00CB6BC7" w:rsidRPr="002F0657" w:rsidRDefault="00CB6BC7" w:rsidP="00D53140">
            <w:pPr>
              <w:pStyle w:val="TableText"/>
            </w:pPr>
            <w:r w:rsidRPr="002F0657">
              <w:t>Street address or post office box</w:t>
            </w:r>
          </w:p>
        </w:tc>
      </w:tr>
      <w:tr w:rsidR="00CB6BC7" w:rsidRPr="002F0657" w:rsidTr="00D53140">
        <w:trPr>
          <w:cantSplit/>
        </w:trPr>
        <w:tc>
          <w:tcPr>
            <w:tcW w:w="3150" w:type="dxa"/>
            <w:shd w:val="clear" w:color="auto" w:fill="E0E0E0"/>
          </w:tcPr>
          <w:p w:rsidR="00CB6BC7" w:rsidRPr="002F0657" w:rsidRDefault="00CB6BC7" w:rsidP="00D53140">
            <w:pPr>
              <w:pStyle w:val="TableText"/>
            </w:pPr>
            <w:r w:rsidRPr="002F0657">
              <w:t>Member mailing address 2</w:t>
            </w:r>
          </w:p>
        </w:tc>
        <w:tc>
          <w:tcPr>
            <w:tcW w:w="840" w:type="dxa"/>
            <w:shd w:val="clear" w:color="auto" w:fill="E0E0E0"/>
          </w:tcPr>
          <w:p w:rsidR="00CB6BC7" w:rsidRPr="002F0657" w:rsidRDefault="00CB6BC7" w:rsidP="00D53140">
            <w:pPr>
              <w:pStyle w:val="TableText"/>
              <w:tabs>
                <w:tab w:val="decimal" w:pos="343"/>
              </w:tabs>
            </w:pPr>
            <w:r w:rsidRPr="002F0657">
              <w:t>50</w:t>
            </w:r>
          </w:p>
        </w:tc>
        <w:tc>
          <w:tcPr>
            <w:tcW w:w="750" w:type="dxa"/>
            <w:shd w:val="clear" w:color="auto" w:fill="E0E0E0"/>
          </w:tcPr>
          <w:p w:rsidR="00CB6BC7" w:rsidRPr="002F0657" w:rsidRDefault="00CB6BC7" w:rsidP="00D53140">
            <w:pPr>
              <w:pStyle w:val="TableText"/>
              <w:tabs>
                <w:tab w:val="decimal" w:pos="343"/>
              </w:tabs>
            </w:pPr>
            <w:r w:rsidRPr="002F0657">
              <w:t>223</w:t>
            </w:r>
          </w:p>
        </w:tc>
        <w:tc>
          <w:tcPr>
            <w:tcW w:w="750" w:type="dxa"/>
            <w:shd w:val="clear" w:color="auto" w:fill="E0E0E0"/>
          </w:tcPr>
          <w:p w:rsidR="00CB6BC7" w:rsidRPr="002F0657" w:rsidRDefault="00CB6BC7" w:rsidP="00D53140">
            <w:pPr>
              <w:pStyle w:val="TableText"/>
              <w:tabs>
                <w:tab w:val="decimal" w:pos="343"/>
              </w:tabs>
            </w:pPr>
            <w:r w:rsidRPr="002F0657">
              <w:t>272</w:t>
            </w:r>
          </w:p>
        </w:tc>
        <w:tc>
          <w:tcPr>
            <w:tcW w:w="4230" w:type="dxa"/>
            <w:shd w:val="clear" w:color="auto" w:fill="E0E0E0"/>
          </w:tcPr>
          <w:p w:rsidR="00CB6BC7" w:rsidRPr="002F0657" w:rsidRDefault="00CB6BC7" w:rsidP="00D53140">
            <w:pPr>
              <w:pStyle w:val="TableText"/>
            </w:pPr>
            <w:r w:rsidRPr="002F0657">
              <w:t>Mailing address 2nd line (if needed)</w:t>
            </w:r>
          </w:p>
        </w:tc>
      </w:tr>
      <w:tr w:rsidR="00CB6BC7" w:rsidRPr="002F0657" w:rsidTr="00D53140">
        <w:trPr>
          <w:cantSplit/>
        </w:trPr>
        <w:tc>
          <w:tcPr>
            <w:tcW w:w="3150" w:type="dxa"/>
          </w:tcPr>
          <w:p w:rsidR="00CB6BC7" w:rsidRPr="002F0657" w:rsidRDefault="00CB6BC7" w:rsidP="00D53140">
            <w:pPr>
              <w:pStyle w:val="TableText"/>
            </w:pPr>
            <w:r w:rsidRPr="002F0657">
              <w:t>Member city</w:t>
            </w:r>
          </w:p>
        </w:tc>
        <w:tc>
          <w:tcPr>
            <w:tcW w:w="840" w:type="dxa"/>
          </w:tcPr>
          <w:p w:rsidR="00CB6BC7" w:rsidRPr="002F0657" w:rsidRDefault="00CB6BC7" w:rsidP="00D53140">
            <w:pPr>
              <w:pStyle w:val="TableText"/>
              <w:tabs>
                <w:tab w:val="decimal" w:pos="343"/>
              </w:tabs>
            </w:pPr>
            <w:r w:rsidRPr="002F0657">
              <w:t>30</w:t>
            </w:r>
          </w:p>
        </w:tc>
        <w:tc>
          <w:tcPr>
            <w:tcW w:w="750" w:type="dxa"/>
          </w:tcPr>
          <w:p w:rsidR="00CB6BC7" w:rsidRPr="002F0657" w:rsidRDefault="00CB6BC7" w:rsidP="00D53140">
            <w:pPr>
              <w:pStyle w:val="TableText"/>
              <w:tabs>
                <w:tab w:val="decimal" w:pos="343"/>
              </w:tabs>
            </w:pPr>
            <w:r w:rsidRPr="002F0657">
              <w:t>273</w:t>
            </w:r>
          </w:p>
        </w:tc>
        <w:tc>
          <w:tcPr>
            <w:tcW w:w="750" w:type="dxa"/>
          </w:tcPr>
          <w:p w:rsidR="00CB6BC7" w:rsidRPr="002F0657" w:rsidRDefault="00CB6BC7" w:rsidP="00D53140">
            <w:pPr>
              <w:pStyle w:val="TableText"/>
              <w:tabs>
                <w:tab w:val="decimal" w:pos="343"/>
              </w:tabs>
            </w:pPr>
            <w:r w:rsidRPr="002F0657">
              <w:t>302</w:t>
            </w:r>
          </w:p>
        </w:tc>
        <w:tc>
          <w:tcPr>
            <w:tcW w:w="4230" w:type="dxa"/>
          </w:tcPr>
          <w:p w:rsidR="00CB6BC7" w:rsidRPr="002F0657" w:rsidRDefault="00CB6BC7" w:rsidP="00D53140">
            <w:pPr>
              <w:pStyle w:val="TableText"/>
            </w:pPr>
          </w:p>
        </w:tc>
      </w:tr>
      <w:tr w:rsidR="00CB6BC7" w:rsidRPr="002F0657" w:rsidTr="00D53140">
        <w:trPr>
          <w:cantSplit/>
        </w:trPr>
        <w:tc>
          <w:tcPr>
            <w:tcW w:w="3150" w:type="dxa"/>
            <w:shd w:val="clear" w:color="auto" w:fill="E0E0E0"/>
          </w:tcPr>
          <w:p w:rsidR="00CB6BC7" w:rsidRPr="002F0657" w:rsidRDefault="00CB6BC7" w:rsidP="00D53140">
            <w:pPr>
              <w:pStyle w:val="TableText"/>
            </w:pPr>
            <w:r w:rsidRPr="002F0657">
              <w:t>Member state</w:t>
            </w:r>
          </w:p>
        </w:tc>
        <w:tc>
          <w:tcPr>
            <w:tcW w:w="840" w:type="dxa"/>
            <w:shd w:val="clear" w:color="auto" w:fill="E0E0E0"/>
          </w:tcPr>
          <w:p w:rsidR="00CB6BC7" w:rsidRPr="002F0657" w:rsidRDefault="00CB6BC7" w:rsidP="00D53140">
            <w:pPr>
              <w:pStyle w:val="TableText"/>
              <w:tabs>
                <w:tab w:val="decimal" w:pos="343"/>
              </w:tabs>
            </w:pPr>
            <w:r w:rsidRPr="002F0657">
              <w:t>2</w:t>
            </w:r>
          </w:p>
        </w:tc>
        <w:tc>
          <w:tcPr>
            <w:tcW w:w="750" w:type="dxa"/>
            <w:shd w:val="clear" w:color="auto" w:fill="E0E0E0"/>
          </w:tcPr>
          <w:p w:rsidR="00CB6BC7" w:rsidRPr="002F0657" w:rsidRDefault="00CB6BC7" w:rsidP="00D53140">
            <w:pPr>
              <w:pStyle w:val="TableText"/>
              <w:tabs>
                <w:tab w:val="decimal" w:pos="343"/>
              </w:tabs>
            </w:pPr>
            <w:r w:rsidRPr="002F0657">
              <w:t>303</w:t>
            </w:r>
          </w:p>
        </w:tc>
        <w:tc>
          <w:tcPr>
            <w:tcW w:w="750" w:type="dxa"/>
            <w:shd w:val="clear" w:color="auto" w:fill="E0E0E0"/>
          </w:tcPr>
          <w:p w:rsidR="00CB6BC7" w:rsidRPr="002F0657" w:rsidRDefault="00CB6BC7" w:rsidP="00D53140">
            <w:pPr>
              <w:pStyle w:val="TableText"/>
              <w:tabs>
                <w:tab w:val="decimal" w:pos="343"/>
              </w:tabs>
            </w:pPr>
            <w:r w:rsidRPr="002F0657">
              <w:t>304</w:t>
            </w:r>
          </w:p>
        </w:tc>
        <w:tc>
          <w:tcPr>
            <w:tcW w:w="4230" w:type="dxa"/>
            <w:shd w:val="clear" w:color="auto" w:fill="E0E0E0"/>
          </w:tcPr>
          <w:p w:rsidR="00CB6BC7" w:rsidRPr="002F0657" w:rsidRDefault="00CB6BC7" w:rsidP="00D53140">
            <w:pPr>
              <w:pStyle w:val="TableText"/>
            </w:pPr>
            <w:r w:rsidRPr="002F0657">
              <w:t>2-character state abbreviation</w:t>
            </w:r>
          </w:p>
        </w:tc>
      </w:tr>
      <w:tr w:rsidR="00CB6BC7" w:rsidRPr="002F0657" w:rsidTr="00D53140">
        <w:trPr>
          <w:cantSplit/>
        </w:trPr>
        <w:tc>
          <w:tcPr>
            <w:tcW w:w="3150" w:type="dxa"/>
          </w:tcPr>
          <w:p w:rsidR="00CB6BC7" w:rsidRPr="002F0657" w:rsidRDefault="00CB6BC7" w:rsidP="00D53140">
            <w:pPr>
              <w:pStyle w:val="TableText"/>
            </w:pPr>
            <w:r w:rsidRPr="002F0657">
              <w:t>Member zip code</w:t>
            </w:r>
          </w:p>
        </w:tc>
        <w:tc>
          <w:tcPr>
            <w:tcW w:w="840" w:type="dxa"/>
          </w:tcPr>
          <w:p w:rsidR="00CB6BC7" w:rsidRPr="002F0657" w:rsidRDefault="00CB6BC7" w:rsidP="00D53140">
            <w:pPr>
              <w:pStyle w:val="TableText"/>
              <w:tabs>
                <w:tab w:val="decimal" w:pos="343"/>
              </w:tabs>
            </w:pPr>
            <w:r w:rsidRPr="002F0657">
              <w:t>5</w:t>
            </w:r>
          </w:p>
        </w:tc>
        <w:tc>
          <w:tcPr>
            <w:tcW w:w="750" w:type="dxa"/>
          </w:tcPr>
          <w:p w:rsidR="00CB6BC7" w:rsidRPr="002F0657" w:rsidRDefault="00CB6BC7" w:rsidP="00D53140">
            <w:pPr>
              <w:pStyle w:val="TableText"/>
              <w:tabs>
                <w:tab w:val="decimal" w:pos="343"/>
              </w:tabs>
            </w:pPr>
            <w:r w:rsidRPr="002F0657">
              <w:t>305</w:t>
            </w:r>
          </w:p>
        </w:tc>
        <w:tc>
          <w:tcPr>
            <w:tcW w:w="750" w:type="dxa"/>
          </w:tcPr>
          <w:p w:rsidR="00CB6BC7" w:rsidRPr="002F0657" w:rsidRDefault="00CB6BC7" w:rsidP="00D53140">
            <w:pPr>
              <w:pStyle w:val="TableText"/>
              <w:tabs>
                <w:tab w:val="decimal" w:pos="343"/>
              </w:tabs>
            </w:pPr>
            <w:r w:rsidRPr="002F0657">
              <w:t>309</w:t>
            </w:r>
          </w:p>
        </w:tc>
        <w:tc>
          <w:tcPr>
            <w:tcW w:w="4230" w:type="dxa"/>
          </w:tcPr>
          <w:p w:rsidR="00CB6BC7" w:rsidRPr="002F0657" w:rsidRDefault="00CB6BC7" w:rsidP="00D53140">
            <w:pPr>
              <w:pStyle w:val="TableText"/>
            </w:pPr>
            <w:r w:rsidRPr="002F0657">
              <w:t>5-digit number</w:t>
            </w:r>
          </w:p>
        </w:tc>
      </w:tr>
      <w:tr w:rsidR="00CB6BC7" w:rsidRPr="002F0657" w:rsidTr="00D53140">
        <w:trPr>
          <w:cantSplit/>
        </w:trPr>
        <w:tc>
          <w:tcPr>
            <w:tcW w:w="3150" w:type="dxa"/>
            <w:shd w:val="clear" w:color="auto" w:fill="E0E0E0"/>
          </w:tcPr>
          <w:p w:rsidR="00CB6BC7" w:rsidRPr="002F0657" w:rsidRDefault="00CB6BC7" w:rsidP="00D53140">
            <w:pPr>
              <w:pStyle w:val="TableText"/>
            </w:pPr>
            <w:r w:rsidRPr="002F0657">
              <w:t>Member telephone number</w:t>
            </w:r>
          </w:p>
        </w:tc>
        <w:tc>
          <w:tcPr>
            <w:tcW w:w="840" w:type="dxa"/>
            <w:shd w:val="clear" w:color="auto" w:fill="E0E0E0"/>
          </w:tcPr>
          <w:p w:rsidR="00CB6BC7" w:rsidRPr="002F0657" w:rsidRDefault="00CB6BC7" w:rsidP="00D53140">
            <w:pPr>
              <w:pStyle w:val="TableText"/>
              <w:tabs>
                <w:tab w:val="decimal" w:pos="343"/>
              </w:tabs>
            </w:pPr>
            <w:r w:rsidRPr="002F0657">
              <w:t>10</w:t>
            </w:r>
          </w:p>
        </w:tc>
        <w:tc>
          <w:tcPr>
            <w:tcW w:w="750" w:type="dxa"/>
            <w:shd w:val="clear" w:color="auto" w:fill="E0E0E0"/>
          </w:tcPr>
          <w:p w:rsidR="00CB6BC7" w:rsidRPr="002F0657" w:rsidRDefault="00CB6BC7" w:rsidP="00D53140">
            <w:pPr>
              <w:pStyle w:val="TableText"/>
              <w:tabs>
                <w:tab w:val="decimal" w:pos="343"/>
              </w:tabs>
            </w:pPr>
            <w:r w:rsidRPr="002F0657">
              <w:t>310</w:t>
            </w:r>
          </w:p>
        </w:tc>
        <w:tc>
          <w:tcPr>
            <w:tcW w:w="750" w:type="dxa"/>
            <w:shd w:val="clear" w:color="auto" w:fill="E0E0E0"/>
          </w:tcPr>
          <w:p w:rsidR="00CB6BC7" w:rsidRPr="002F0657" w:rsidRDefault="00CB6BC7" w:rsidP="00D53140">
            <w:pPr>
              <w:pStyle w:val="TableText"/>
              <w:tabs>
                <w:tab w:val="decimal" w:pos="343"/>
              </w:tabs>
            </w:pPr>
            <w:r w:rsidRPr="002F0657">
              <w:t>319</w:t>
            </w:r>
          </w:p>
        </w:tc>
        <w:tc>
          <w:tcPr>
            <w:tcW w:w="4230" w:type="dxa"/>
            <w:shd w:val="clear" w:color="auto" w:fill="E0E0E0"/>
          </w:tcPr>
          <w:p w:rsidR="00CB6BC7" w:rsidRPr="002F0657" w:rsidRDefault="00CB6BC7" w:rsidP="00D53140">
            <w:pPr>
              <w:pStyle w:val="TableText"/>
            </w:pPr>
            <w:r w:rsidRPr="002F0657">
              <w:t xml:space="preserve">3-digit area code plus 7-digit phone number; </w:t>
            </w:r>
            <w:r w:rsidRPr="002F0657">
              <w:br/>
              <w:t>no separators or delimiters</w:t>
            </w:r>
          </w:p>
        </w:tc>
      </w:tr>
      <w:tr w:rsidR="00CB6BC7" w:rsidRPr="002F0657" w:rsidTr="00D53140">
        <w:trPr>
          <w:cantSplit/>
        </w:trPr>
        <w:tc>
          <w:tcPr>
            <w:tcW w:w="3150" w:type="dxa"/>
          </w:tcPr>
          <w:p w:rsidR="00CB6BC7" w:rsidRPr="002F0657" w:rsidRDefault="00CB6BC7" w:rsidP="00D53140">
            <w:pPr>
              <w:pStyle w:val="TableText"/>
            </w:pPr>
            <w:r w:rsidRPr="002F0657">
              <w:t xml:space="preserve">Flu Shots for Adults Ages 50–64 </w:t>
            </w:r>
            <w:r w:rsidRPr="002F0657">
              <w:br/>
              <w:t>Eligibility Flag*</w:t>
            </w:r>
          </w:p>
        </w:tc>
        <w:tc>
          <w:tcPr>
            <w:tcW w:w="840" w:type="dxa"/>
          </w:tcPr>
          <w:p w:rsidR="00CB6BC7" w:rsidRPr="002F0657" w:rsidRDefault="00CB6BC7" w:rsidP="00D53140">
            <w:pPr>
              <w:pStyle w:val="TableText"/>
              <w:tabs>
                <w:tab w:val="decimal" w:pos="343"/>
              </w:tabs>
            </w:pPr>
            <w:r w:rsidRPr="002F0657">
              <w:t>1</w:t>
            </w:r>
          </w:p>
        </w:tc>
        <w:tc>
          <w:tcPr>
            <w:tcW w:w="750" w:type="dxa"/>
          </w:tcPr>
          <w:p w:rsidR="00CB6BC7" w:rsidRPr="002F0657" w:rsidRDefault="00CB6BC7" w:rsidP="00D53140">
            <w:pPr>
              <w:pStyle w:val="TableText"/>
              <w:tabs>
                <w:tab w:val="decimal" w:pos="343"/>
              </w:tabs>
            </w:pPr>
            <w:r w:rsidRPr="002F0657">
              <w:t>320</w:t>
            </w:r>
          </w:p>
        </w:tc>
        <w:tc>
          <w:tcPr>
            <w:tcW w:w="750" w:type="dxa"/>
          </w:tcPr>
          <w:p w:rsidR="00CB6BC7" w:rsidRPr="002F0657" w:rsidRDefault="00CB6BC7" w:rsidP="00D53140">
            <w:pPr>
              <w:pStyle w:val="TableText"/>
              <w:tabs>
                <w:tab w:val="decimal" w:pos="343"/>
              </w:tabs>
            </w:pPr>
            <w:r w:rsidRPr="002F0657">
              <w:t>320</w:t>
            </w:r>
          </w:p>
        </w:tc>
        <w:tc>
          <w:tcPr>
            <w:tcW w:w="4230" w:type="dxa"/>
          </w:tcPr>
          <w:p w:rsidR="00CB6BC7" w:rsidRPr="002F0657" w:rsidRDefault="00E11409" w:rsidP="00D53140">
            <w:pPr>
              <w:pStyle w:val="TableText"/>
              <w:tabs>
                <w:tab w:val="left" w:pos="288"/>
              </w:tabs>
              <w:spacing w:after="0"/>
              <w:ind w:left="288" w:hanging="288"/>
            </w:pPr>
            <w:r>
              <w:t>1 =</w:t>
            </w:r>
            <w:r>
              <w:tab/>
            </w:r>
            <w:r w:rsidR="00CB6BC7" w:rsidRPr="002F0657">
              <w:t>Eligible</w:t>
            </w:r>
          </w:p>
          <w:p w:rsidR="00CB6BC7" w:rsidRPr="002F0657" w:rsidRDefault="00E11409" w:rsidP="00D53140">
            <w:pPr>
              <w:pStyle w:val="TableText"/>
              <w:tabs>
                <w:tab w:val="left" w:pos="288"/>
              </w:tabs>
              <w:spacing w:before="0" w:after="0"/>
              <w:ind w:left="288" w:hanging="288"/>
            </w:pPr>
            <w:r>
              <w:t>2 =</w:t>
            </w:r>
            <w:r>
              <w:tab/>
            </w:r>
            <w:r w:rsidR="00CB6BC7" w:rsidRPr="002F0657">
              <w:t>Ineligible</w:t>
            </w:r>
          </w:p>
          <w:p w:rsidR="00CB6BC7" w:rsidRPr="002F0657" w:rsidRDefault="00CB6BC7" w:rsidP="00D53140">
            <w:pPr>
              <w:pStyle w:val="TableText"/>
              <w:tabs>
                <w:tab w:val="left" w:pos="288"/>
              </w:tabs>
              <w:spacing w:before="0"/>
              <w:ind w:left="288" w:hanging="288"/>
            </w:pPr>
            <w:r w:rsidRPr="002F0657">
              <w:t xml:space="preserve">0 = </w:t>
            </w:r>
            <w:r w:rsidRPr="002F0657">
              <w:tab/>
              <w:t xml:space="preserve">Member is in the Medicaid product line for which the measure </w:t>
            </w:r>
            <w:r w:rsidRPr="002F0657">
              <w:rPr>
                <w:i/>
              </w:rPr>
              <w:t xml:space="preserve">is </w:t>
            </w:r>
            <w:r w:rsidRPr="002F0657">
              <w:rPr>
                <w:bCs/>
                <w:i/>
              </w:rPr>
              <w:t>not</w:t>
            </w:r>
            <w:r w:rsidRPr="002F0657">
              <w:t xml:space="preserve"> reported </w:t>
            </w:r>
          </w:p>
        </w:tc>
      </w:tr>
      <w:tr w:rsidR="00CB6BC7" w:rsidRPr="002F0657" w:rsidTr="00D53140">
        <w:trPr>
          <w:cantSplit/>
        </w:trPr>
        <w:tc>
          <w:tcPr>
            <w:tcW w:w="3150" w:type="dxa"/>
            <w:shd w:val="clear" w:color="auto" w:fill="D9D9D9"/>
          </w:tcPr>
          <w:p w:rsidR="00CB6BC7" w:rsidRPr="002F0657" w:rsidRDefault="00CB6BC7" w:rsidP="00D53140">
            <w:pPr>
              <w:pStyle w:val="TableText"/>
            </w:pPr>
            <w:r w:rsidRPr="002F0657">
              <w:t>Member age as of December 31 of the measurement year*</w:t>
            </w:r>
          </w:p>
        </w:tc>
        <w:tc>
          <w:tcPr>
            <w:tcW w:w="840" w:type="dxa"/>
            <w:shd w:val="clear" w:color="auto" w:fill="D9D9D9"/>
          </w:tcPr>
          <w:p w:rsidR="00CB6BC7" w:rsidRPr="002F0657" w:rsidRDefault="00CB6BC7" w:rsidP="00D53140">
            <w:pPr>
              <w:pStyle w:val="TableText"/>
              <w:tabs>
                <w:tab w:val="decimal" w:pos="343"/>
              </w:tabs>
            </w:pPr>
            <w:r w:rsidRPr="002F0657">
              <w:t>2</w:t>
            </w:r>
          </w:p>
        </w:tc>
        <w:tc>
          <w:tcPr>
            <w:tcW w:w="750" w:type="dxa"/>
            <w:shd w:val="clear" w:color="auto" w:fill="D9D9D9"/>
          </w:tcPr>
          <w:p w:rsidR="00CB6BC7" w:rsidRPr="002F0657" w:rsidRDefault="00CB6BC7" w:rsidP="00D53140">
            <w:pPr>
              <w:pStyle w:val="TableText"/>
              <w:tabs>
                <w:tab w:val="decimal" w:pos="343"/>
              </w:tabs>
            </w:pPr>
            <w:r w:rsidRPr="002F0657">
              <w:t>321</w:t>
            </w:r>
          </w:p>
        </w:tc>
        <w:tc>
          <w:tcPr>
            <w:tcW w:w="750" w:type="dxa"/>
            <w:shd w:val="clear" w:color="auto" w:fill="D9D9D9"/>
          </w:tcPr>
          <w:p w:rsidR="00CB6BC7" w:rsidRPr="002F0657" w:rsidRDefault="00CB6BC7" w:rsidP="00D53140">
            <w:pPr>
              <w:pStyle w:val="TableText"/>
              <w:tabs>
                <w:tab w:val="decimal" w:pos="343"/>
              </w:tabs>
            </w:pPr>
            <w:r w:rsidRPr="002F0657">
              <w:t>322</w:t>
            </w:r>
          </w:p>
        </w:tc>
        <w:tc>
          <w:tcPr>
            <w:tcW w:w="4230" w:type="dxa"/>
            <w:shd w:val="clear" w:color="auto" w:fill="D9D9D9"/>
          </w:tcPr>
          <w:p w:rsidR="00CB6BC7" w:rsidRPr="002F0657" w:rsidRDefault="00CB6BC7" w:rsidP="00D53140">
            <w:pPr>
              <w:pStyle w:val="TableText"/>
              <w:tabs>
                <w:tab w:val="left" w:pos="288"/>
              </w:tabs>
              <w:ind w:left="288" w:hanging="288"/>
            </w:pPr>
            <w:r w:rsidRPr="002F0657">
              <w:t>Numeric, 2-digit variable.</w:t>
            </w:r>
          </w:p>
          <w:p w:rsidR="00CB6BC7" w:rsidRPr="002F0657" w:rsidRDefault="00CB6BC7" w:rsidP="00D53140">
            <w:pPr>
              <w:pStyle w:val="TableText"/>
              <w:tabs>
                <w:tab w:val="left" w:pos="288"/>
              </w:tabs>
            </w:pPr>
            <w:r w:rsidRPr="002F0657">
              <w:t>For members age 80 years and older, code as 80. For example, a member who is 89 years of age as of December 31 of the measurement year will be coded 80.</w:t>
            </w:r>
          </w:p>
        </w:tc>
      </w:tr>
    </w:tbl>
    <w:p w:rsidR="00CB6BC7" w:rsidRPr="002F0657" w:rsidRDefault="00CB6BC7" w:rsidP="00CB6BC7">
      <w:pPr>
        <w:pStyle w:val="TableText"/>
        <w:spacing w:before="120"/>
        <w:sectPr w:rsidR="00CB6BC7" w:rsidRPr="002F0657" w:rsidSect="003C7BFE">
          <w:pgSz w:w="12240" w:h="15840" w:code="1"/>
          <w:pgMar w:top="1080" w:right="1080" w:bottom="1080" w:left="1440" w:header="720" w:footer="720" w:gutter="0"/>
          <w:cols w:space="720"/>
        </w:sectPr>
      </w:pPr>
      <w:r w:rsidRPr="002F0657">
        <w:t xml:space="preserve">*A valid value is required for every member in the record. </w:t>
      </w:r>
    </w:p>
    <w:p w:rsidR="00CB6BC7" w:rsidRPr="002F0657" w:rsidRDefault="00CB6BC7" w:rsidP="00CB6BC7">
      <w:pPr>
        <w:pStyle w:val="Heading3"/>
        <w:spacing w:before="0"/>
      </w:pPr>
      <w:r w:rsidRPr="002F0657">
        <w:t>Table S-2: Standardized Layout for Sample Frame Data File (Child Survey Without CCC)</w:t>
      </w:r>
    </w:p>
    <w:tbl>
      <w:tblPr>
        <w:tblW w:w="972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060"/>
        <w:gridCol w:w="810"/>
        <w:gridCol w:w="810"/>
        <w:gridCol w:w="810"/>
        <w:gridCol w:w="4230"/>
      </w:tblGrid>
      <w:tr w:rsidR="00CB6BC7" w:rsidRPr="002F0657" w:rsidTr="00D53140">
        <w:trPr>
          <w:cantSplit/>
          <w:tblHeader/>
        </w:trPr>
        <w:tc>
          <w:tcPr>
            <w:tcW w:w="3060" w:type="dxa"/>
            <w:vMerge w:val="restart"/>
            <w:tcBorders>
              <w:right w:val="single" w:sz="4" w:space="0" w:color="FFFFFF"/>
            </w:tcBorders>
            <w:shd w:val="clear" w:color="auto" w:fill="000000"/>
            <w:vAlign w:val="bottom"/>
          </w:tcPr>
          <w:p w:rsidR="00CB6BC7" w:rsidRPr="002F0657" w:rsidRDefault="00CB6BC7" w:rsidP="00D53140">
            <w:pPr>
              <w:pStyle w:val="TableHead"/>
              <w:rPr>
                <w:rFonts w:cs="Arial"/>
                <w:bCs/>
                <w:color w:val="auto"/>
                <w:u w:val="single"/>
              </w:rPr>
            </w:pPr>
            <w:r w:rsidRPr="002F0657">
              <w:rPr>
                <w:rFonts w:cs="Arial"/>
                <w:bCs/>
                <w:color w:val="auto"/>
              </w:rPr>
              <w:t>Required Data Element</w:t>
            </w:r>
          </w:p>
        </w:tc>
        <w:tc>
          <w:tcPr>
            <w:tcW w:w="2430" w:type="dxa"/>
            <w:gridSpan w:val="3"/>
            <w:tcBorders>
              <w:left w:val="single" w:sz="4" w:space="0" w:color="FFFFFF"/>
              <w:bottom w:val="single" w:sz="4" w:space="0" w:color="FFFFFF"/>
              <w:right w:val="single" w:sz="4" w:space="0" w:color="FFFFFF"/>
            </w:tcBorders>
            <w:shd w:val="clear" w:color="auto" w:fill="000000"/>
          </w:tcPr>
          <w:p w:rsidR="00CB6BC7" w:rsidRPr="002F0657" w:rsidRDefault="00CB6BC7" w:rsidP="00D53140">
            <w:pPr>
              <w:pStyle w:val="TableHead"/>
              <w:rPr>
                <w:rFonts w:cs="Arial"/>
                <w:bCs/>
                <w:color w:val="auto"/>
              </w:rPr>
            </w:pPr>
            <w:r w:rsidRPr="002F0657">
              <w:rPr>
                <w:rFonts w:cs="Arial"/>
                <w:bCs/>
                <w:color w:val="auto"/>
              </w:rPr>
              <w:t>Field Positions</w:t>
            </w:r>
          </w:p>
        </w:tc>
        <w:tc>
          <w:tcPr>
            <w:tcW w:w="4230" w:type="dxa"/>
            <w:vMerge w:val="restart"/>
            <w:tcBorders>
              <w:left w:val="single" w:sz="4" w:space="0" w:color="FFFFFF"/>
            </w:tcBorders>
            <w:shd w:val="clear" w:color="auto" w:fill="000000"/>
            <w:vAlign w:val="bottom"/>
          </w:tcPr>
          <w:p w:rsidR="00CB6BC7" w:rsidRPr="002F0657" w:rsidRDefault="00CB6BC7" w:rsidP="00D53140">
            <w:pPr>
              <w:pStyle w:val="TableHead"/>
              <w:rPr>
                <w:rFonts w:cs="Arial"/>
                <w:bCs/>
                <w:color w:val="auto"/>
                <w:u w:val="single"/>
              </w:rPr>
            </w:pPr>
            <w:r w:rsidRPr="002F0657">
              <w:rPr>
                <w:rFonts w:cs="Arial"/>
                <w:bCs/>
                <w:color w:val="auto"/>
              </w:rPr>
              <w:t>Value Labels</w:t>
            </w:r>
          </w:p>
        </w:tc>
      </w:tr>
      <w:tr w:rsidR="00CB6BC7" w:rsidRPr="002F0657" w:rsidTr="00D53140">
        <w:trPr>
          <w:cantSplit/>
          <w:tblHeader/>
        </w:trPr>
        <w:tc>
          <w:tcPr>
            <w:tcW w:w="3060" w:type="dxa"/>
            <w:vMerge/>
            <w:tcBorders>
              <w:right w:val="single" w:sz="4" w:space="0" w:color="FFFFFF"/>
            </w:tcBorders>
            <w:shd w:val="clear" w:color="auto" w:fill="000000"/>
          </w:tcPr>
          <w:p w:rsidR="00CB6BC7" w:rsidRPr="002F0657" w:rsidRDefault="00CB6BC7" w:rsidP="00D53140">
            <w:pPr>
              <w:pStyle w:val="TableHead"/>
              <w:jc w:val="left"/>
              <w:rPr>
                <w:rFonts w:cs="Arial"/>
                <w:bCs/>
                <w:color w:val="auto"/>
              </w:rPr>
            </w:pPr>
          </w:p>
        </w:tc>
        <w:tc>
          <w:tcPr>
            <w:tcW w:w="810" w:type="dxa"/>
            <w:tcBorders>
              <w:top w:val="single" w:sz="4" w:space="0" w:color="FFFFFF"/>
              <w:left w:val="single" w:sz="4" w:space="0" w:color="FFFFFF"/>
              <w:right w:val="single" w:sz="4" w:space="0" w:color="FFFFFF"/>
            </w:tcBorders>
            <w:shd w:val="clear" w:color="auto" w:fill="000000"/>
          </w:tcPr>
          <w:p w:rsidR="00CB6BC7" w:rsidRPr="002F0657" w:rsidRDefault="00CB6BC7" w:rsidP="00D53140">
            <w:pPr>
              <w:pStyle w:val="TableHead"/>
              <w:tabs>
                <w:tab w:val="decimal" w:pos="433"/>
              </w:tabs>
              <w:jc w:val="left"/>
              <w:rPr>
                <w:rFonts w:cs="Arial"/>
                <w:bCs/>
                <w:color w:val="auto"/>
              </w:rPr>
            </w:pPr>
            <w:r w:rsidRPr="002F0657">
              <w:rPr>
                <w:rFonts w:cs="Arial"/>
                <w:bCs/>
                <w:color w:val="auto"/>
              </w:rPr>
              <w:t>Length</w:t>
            </w:r>
          </w:p>
        </w:tc>
        <w:tc>
          <w:tcPr>
            <w:tcW w:w="810" w:type="dxa"/>
            <w:tcBorders>
              <w:top w:val="single" w:sz="4" w:space="0" w:color="FFFFFF"/>
              <w:left w:val="single" w:sz="4" w:space="0" w:color="FFFFFF"/>
              <w:right w:val="single" w:sz="4" w:space="0" w:color="FFFFFF"/>
            </w:tcBorders>
            <w:shd w:val="clear" w:color="auto" w:fill="000000"/>
          </w:tcPr>
          <w:p w:rsidR="00CB6BC7" w:rsidRPr="002F0657" w:rsidRDefault="00CB6BC7" w:rsidP="00D53140">
            <w:pPr>
              <w:pStyle w:val="TableHead"/>
              <w:tabs>
                <w:tab w:val="decimal" w:pos="433"/>
              </w:tabs>
              <w:jc w:val="left"/>
              <w:rPr>
                <w:rFonts w:cs="Arial"/>
                <w:bCs/>
                <w:color w:val="auto"/>
              </w:rPr>
            </w:pPr>
            <w:r w:rsidRPr="002F0657">
              <w:rPr>
                <w:rFonts w:cs="Arial"/>
                <w:bCs/>
                <w:color w:val="auto"/>
              </w:rPr>
              <w:t>Start</w:t>
            </w:r>
          </w:p>
        </w:tc>
        <w:tc>
          <w:tcPr>
            <w:tcW w:w="810" w:type="dxa"/>
            <w:tcBorders>
              <w:top w:val="single" w:sz="4" w:space="0" w:color="FFFFFF"/>
              <w:left w:val="single" w:sz="4" w:space="0" w:color="FFFFFF"/>
              <w:right w:val="single" w:sz="4" w:space="0" w:color="FFFFFF"/>
            </w:tcBorders>
            <w:shd w:val="clear" w:color="auto" w:fill="000000"/>
          </w:tcPr>
          <w:p w:rsidR="00CB6BC7" w:rsidRPr="002F0657" w:rsidRDefault="00CB6BC7" w:rsidP="00D53140">
            <w:pPr>
              <w:pStyle w:val="TableHead"/>
              <w:tabs>
                <w:tab w:val="decimal" w:pos="433"/>
              </w:tabs>
              <w:jc w:val="left"/>
              <w:rPr>
                <w:rFonts w:cs="Arial"/>
                <w:bCs/>
                <w:color w:val="auto"/>
              </w:rPr>
            </w:pPr>
            <w:r w:rsidRPr="002F0657">
              <w:rPr>
                <w:rFonts w:cs="Arial"/>
                <w:bCs/>
                <w:color w:val="auto"/>
              </w:rPr>
              <w:t>End</w:t>
            </w:r>
          </w:p>
        </w:tc>
        <w:tc>
          <w:tcPr>
            <w:tcW w:w="4230" w:type="dxa"/>
            <w:vMerge/>
            <w:tcBorders>
              <w:left w:val="single" w:sz="4" w:space="0" w:color="FFFFFF"/>
            </w:tcBorders>
            <w:shd w:val="clear" w:color="auto" w:fill="000000"/>
          </w:tcPr>
          <w:p w:rsidR="00CB6BC7" w:rsidRPr="002F0657" w:rsidRDefault="00CB6BC7" w:rsidP="00D53140">
            <w:pPr>
              <w:pStyle w:val="TableHead"/>
              <w:jc w:val="left"/>
              <w:rPr>
                <w:rFonts w:cs="Arial"/>
                <w:bCs/>
                <w:color w:val="auto"/>
              </w:rPr>
            </w:pPr>
          </w:p>
        </w:tc>
      </w:tr>
      <w:tr w:rsidR="00CB6BC7" w:rsidRPr="002F0657" w:rsidTr="00D53140">
        <w:trPr>
          <w:cantSplit/>
        </w:trPr>
        <w:tc>
          <w:tcPr>
            <w:tcW w:w="3060" w:type="dxa"/>
          </w:tcPr>
          <w:p w:rsidR="00CB6BC7" w:rsidRPr="002F0657" w:rsidRDefault="00CB6BC7" w:rsidP="00D53140">
            <w:pPr>
              <w:pStyle w:val="TableText"/>
            </w:pPr>
            <w:r w:rsidRPr="002F0657">
              <w:t>Health care organization name</w:t>
            </w:r>
          </w:p>
        </w:tc>
        <w:tc>
          <w:tcPr>
            <w:tcW w:w="810" w:type="dxa"/>
          </w:tcPr>
          <w:p w:rsidR="00CB6BC7" w:rsidRPr="002F0657" w:rsidRDefault="00CB6BC7" w:rsidP="00D53140">
            <w:pPr>
              <w:pStyle w:val="TableText"/>
              <w:tabs>
                <w:tab w:val="decimal" w:pos="433"/>
              </w:tabs>
            </w:pPr>
            <w:r w:rsidRPr="002F0657">
              <w:t>60</w:t>
            </w:r>
          </w:p>
        </w:tc>
        <w:tc>
          <w:tcPr>
            <w:tcW w:w="810" w:type="dxa"/>
          </w:tcPr>
          <w:p w:rsidR="00CB6BC7" w:rsidRPr="002F0657" w:rsidRDefault="00CB6BC7" w:rsidP="00D53140">
            <w:pPr>
              <w:pStyle w:val="TableText"/>
              <w:tabs>
                <w:tab w:val="decimal" w:pos="433"/>
              </w:tabs>
            </w:pPr>
            <w:r w:rsidRPr="002F0657">
              <w:t>1</w:t>
            </w:r>
          </w:p>
        </w:tc>
        <w:tc>
          <w:tcPr>
            <w:tcW w:w="810" w:type="dxa"/>
          </w:tcPr>
          <w:p w:rsidR="00CB6BC7" w:rsidRPr="002F0657" w:rsidRDefault="00CB6BC7" w:rsidP="00D53140">
            <w:pPr>
              <w:pStyle w:val="TableText"/>
              <w:tabs>
                <w:tab w:val="decimal" w:pos="433"/>
              </w:tabs>
            </w:pPr>
            <w:r w:rsidRPr="002F0657">
              <w:t>60</w:t>
            </w:r>
          </w:p>
        </w:tc>
        <w:tc>
          <w:tcPr>
            <w:tcW w:w="4230" w:type="dxa"/>
          </w:tcPr>
          <w:p w:rsidR="00CB6BC7" w:rsidRPr="002F0657" w:rsidRDefault="00CB6BC7" w:rsidP="00D53140">
            <w:pPr>
              <w:pStyle w:val="TableText"/>
            </w:pPr>
          </w:p>
        </w:tc>
      </w:tr>
      <w:tr w:rsidR="00CB6BC7" w:rsidRPr="002F0657" w:rsidTr="00D53140">
        <w:trPr>
          <w:cantSplit/>
        </w:trPr>
        <w:tc>
          <w:tcPr>
            <w:tcW w:w="3060" w:type="dxa"/>
            <w:shd w:val="clear" w:color="auto" w:fill="E0E0E0"/>
          </w:tcPr>
          <w:p w:rsidR="00CB6BC7" w:rsidRPr="002F0657" w:rsidRDefault="00CB6BC7" w:rsidP="00D53140">
            <w:pPr>
              <w:pStyle w:val="TableText"/>
            </w:pPr>
            <w:r w:rsidRPr="002F0657">
              <w:t>Product line*</w:t>
            </w:r>
          </w:p>
        </w:tc>
        <w:tc>
          <w:tcPr>
            <w:tcW w:w="810" w:type="dxa"/>
            <w:shd w:val="clear" w:color="auto" w:fill="E0E0E0"/>
          </w:tcPr>
          <w:p w:rsidR="00CB6BC7" w:rsidRPr="002F0657" w:rsidRDefault="00CB6BC7" w:rsidP="00D53140">
            <w:pPr>
              <w:pStyle w:val="TableText"/>
              <w:tabs>
                <w:tab w:val="decimal" w:pos="433"/>
              </w:tabs>
            </w:pPr>
            <w:r w:rsidRPr="002F0657">
              <w:t>1</w:t>
            </w:r>
          </w:p>
        </w:tc>
        <w:tc>
          <w:tcPr>
            <w:tcW w:w="810" w:type="dxa"/>
            <w:shd w:val="clear" w:color="auto" w:fill="E0E0E0"/>
          </w:tcPr>
          <w:p w:rsidR="00CB6BC7" w:rsidRPr="002F0657" w:rsidRDefault="00CB6BC7" w:rsidP="00D53140">
            <w:pPr>
              <w:pStyle w:val="TableText"/>
              <w:tabs>
                <w:tab w:val="decimal" w:pos="433"/>
              </w:tabs>
            </w:pPr>
            <w:r w:rsidRPr="002F0657">
              <w:t>61</w:t>
            </w:r>
          </w:p>
        </w:tc>
        <w:tc>
          <w:tcPr>
            <w:tcW w:w="810" w:type="dxa"/>
            <w:shd w:val="clear" w:color="auto" w:fill="E0E0E0"/>
          </w:tcPr>
          <w:p w:rsidR="00CB6BC7" w:rsidRPr="002F0657" w:rsidRDefault="00CB6BC7" w:rsidP="00D53140">
            <w:pPr>
              <w:pStyle w:val="TableText"/>
              <w:tabs>
                <w:tab w:val="decimal" w:pos="433"/>
              </w:tabs>
            </w:pPr>
            <w:r w:rsidRPr="002F0657">
              <w:t>61</w:t>
            </w:r>
          </w:p>
        </w:tc>
        <w:tc>
          <w:tcPr>
            <w:tcW w:w="4230" w:type="dxa"/>
            <w:shd w:val="clear" w:color="auto" w:fill="E0E0E0"/>
          </w:tcPr>
          <w:p w:rsidR="00CB6BC7" w:rsidRPr="002F0657" w:rsidRDefault="00CB6BC7" w:rsidP="00D53140">
            <w:pPr>
              <w:pStyle w:val="TableText"/>
            </w:pPr>
            <w:r w:rsidRPr="002F0657">
              <w:t>1 = Commercial</w:t>
            </w:r>
            <w:r w:rsidRPr="002F0657">
              <w:br/>
              <w:t>2 = Medicaid</w:t>
            </w:r>
          </w:p>
        </w:tc>
      </w:tr>
      <w:tr w:rsidR="00CB6BC7" w:rsidRPr="002F0657" w:rsidTr="00D53140">
        <w:trPr>
          <w:cantSplit/>
        </w:trPr>
        <w:tc>
          <w:tcPr>
            <w:tcW w:w="3060" w:type="dxa"/>
          </w:tcPr>
          <w:p w:rsidR="00CB6BC7" w:rsidRPr="002F0657" w:rsidRDefault="00CB6BC7" w:rsidP="00D53140">
            <w:pPr>
              <w:pStyle w:val="TableText"/>
            </w:pPr>
            <w:r w:rsidRPr="002F0657">
              <w:t>Product*</w:t>
            </w:r>
          </w:p>
        </w:tc>
        <w:tc>
          <w:tcPr>
            <w:tcW w:w="810" w:type="dxa"/>
          </w:tcPr>
          <w:p w:rsidR="00CB6BC7" w:rsidRPr="002F0657" w:rsidRDefault="00CB6BC7" w:rsidP="00D53140">
            <w:pPr>
              <w:pStyle w:val="TableText"/>
              <w:tabs>
                <w:tab w:val="decimal" w:pos="433"/>
              </w:tabs>
            </w:pPr>
            <w:r w:rsidRPr="002F0657">
              <w:t>1</w:t>
            </w:r>
          </w:p>
        </w:tc>
        <w:tc>
          <w:tcPr>
            <w:tcW w:w="810" w:type="dxa"/>
          </w:tcPr>
          <w:p w:rsidR="00CB6BC7" w:rsidRPr="002F0657" w:rsidRDefault="00CB6BC7" w:rsidP="00D53140">
            <w:pPr>
              <w:pStyle w:val="TableText"/>
              <w:tabs>
                <w:tab w:val="decimal" w:pos="433"/>
              </w:tabs>
            </w:pPr>
            <w:r w:rsidRPr="002F0657">
              <w:t>62</w:t>
            </w:r>
          </w:p>
        </w:tc>
        <w:tc>
          <w:tcPr>
            <w:tcW w:w="810" w:type="dxa"/>
          </w:tcPr>
          <w:p w:rsidR="00CB6BC7" w:rsidRPr="002F0657" w:rsidRDefault="00CB6BC7" w:rsidP="00D53140">
            <w:pPr>
              <w:pStyle w:val="TableText"/>
              <w:tabs>
                <w:tab w:val="decimal" w:pos="433"/>
              </w:tabs>
            </w:pPr>
            <w:r w:rsidRPr="002F0657">
              <w:t>62</w:t>
            </w:r>
          </w:p>
        </w:tc>
        <w:tc>
          <w:tcPr>
            <w:tcW w:w="4230" w:type="dxa"/>
          </w:tcPr>
          <w:p w:rsidR="00CB6BC7" w:rsidRPr="002F0657" w:rsidRDefault="00CB6BC7" w:rsidP="00D53140">
            <w:pPr>
              <w:pStyle w:val="TableText"/>
            </w:pPr>
            <w:r w:rsidRPr="002F0657">
              <w:t>1 = HMO</w:t>
            </w:r>
            <w:r w:rsidRPr="002F0657">
              <w:br/>
              <w:t>2 = POS</w:t>
            </w:r>
            <w:r w:rsidRPr="002F0657">
              <w:br/>
              <w:t>3 = PPO</w:t>
            </w:r>
          </w:p>
        </w:tc>
      </w:tr>
      <w:tr w:rsidR="00CB6BC7" w:rsidRPr="002F0657" w:rsidTr="00D53140">
        <w:trPr>
          <w:cantSplit/>
        </w:trPr>
        <w:tc>
          <w:tcPr>
            <w:tcW w:w="3060" w:type="dxa"/>
            <w:shd w:val="clear" w:color="auto" w:fill="E0E0E0"/>
          </w:tcPr>
          <w:p w:rsidR="00CB6BC7" w:rsidRPr="002F0657" w:rsidRDefault="00CB6BC7" w:rsidP="00D53140">
            <w:pPr>
              <w:pStyle w:val="TableText"/>
            </w:pPr>
            <w:r w:rsidRPr="002F0657">
              <w:t>Subscriber or family ID number</w:t>
            </w:r>
          </w:p>
        </w:tc>
        <w:tc>
          <w:tcPr>
            <w:tcW w:w="810" w:type="dxa"/>
            <w:shd w:val="clear" w:color="auto" w:fill="E0E0E0"/>
          </w:tcPr>
          <w:p w:rsidR="00CB6BC7" w:rsidRPr="002F0657" w:rsidRDefault="00CB6BC7" w:rsidP="00D53140">
            <w:pPr>
              <w:pStyle w:val="TableText"/>
              <w:tabs>
                <w:tab w:val="decimal" w:pos="433"/>
              </w:tabs>
            </w:pPr>
            <w:r w:rsidRPr="002F0657">
              <w:t>25</w:t>
            </w:r>
          </w:p>
        </w:tc>
        <w:tc>
          <w:tcPr>
            <w:tcW w:w="810" w:type="dxa"/>
            <w:shd w:val="clear" w:color="auto" w:fill="E0E0E0"/>
          </w:tcPr>
          <w:p w:rsidR="00CB6BC7" w:rsidRPr="002F0657" w:rsidRDefault="00CB6BC7" w:rsidP="00D53140">
            <w:pPr>
              <w:pStyle w:val="TableText"/>
              <w:tabs>
                <w:tab w:val="decimal" w:pos="433"/>
              </w:tabs>
            </w:pPr>
            <w:r w:rsidRPr="002F0657">
              <w:t>63</w:t>
            </w:r>
          </w:p>
        </w:tc>
        <w:tc>
          <w:tcPr>
            <w:tcW w:w="810" w:type="dxa"/>
            <w:shd w:val="clear" w:color="auto" w:fill="E0E0E0"/>
          </w:tcPr>
          <w:p w:rsidR="00CB6BC7" w:rsidRPr="002F0657" w:rsidRDefault="00CB6BC7" w:rsidP="00D53140">
            <w:pPr>
              <w:pStyle w:val="TableText"/>
              <w:tabs>
                <w:tab w:val="decimal" w:pos="433"/>
              </w:tabs>
            </w:pPr>
            <w:r w:rsidRPr="002F0657">
              <w:t>87</w:t>
            </w:r>
          </w:p>
        </w:tc>
        <w:tc>
          <w:tcPr>
            <w:tcW w:w="4230" w:type="dxa"/>
            <w:shd w:val="clear" w:color="auto" w:fill="E0E0E0"/>
          </w:tcPr>
          <w:p w:rsidR="00CB6BC7" w:rsidRPr="002F0657" w:rsidRDefault="00CB6BC7" w:rsidP="00D53140">
            <w:pPr>
              <w:pStyle w:val="TableText"/>
            </w:pPr>
          </w:p>
        </w:tc>
      </w:tr>
      <w:tr w:rsidR="00CB6BC7" w:rsidRPr="002F0657" w:rsidTr="00D53140">
        <w:trPr>
          <w:cantSplit/>
        </w:trPr>
        <w:tc>
          <w:tcPr>
            <w:tcW w:w="3060" w:type="dxa"/>
          </w:tcPr>
          <w:p w:rsidR="00CB6BC7" w:rsidRPr="002F0657" w:rsidRDefault="00CB6BC7" w:rsidP="00D53140">
            <w:pPr>
              <w:pStyle w:val="TableText"/>
            </w:pPr>
            <w:r w:rsidRPr="002F0657">
              <w:t>Member-unique ID</w:t>
            </w:r>
          </w:p>
        </w:tc>
        <w:tc>
          <w:tcPr>
            <w:tcW w:w="810" w:type="dxa"/>
          </w:tcPr>
          <w:p w:rsidR="00CB6BC7" w:rsidRPr="002F0657" w:rsidRDefault="00CB6BC7" w:rsidP="00D53140">
            <w:pPr>
              <w:pStyle w:val="TableText"/>
              <w:tabs>
                <w:tab w:val="decimal" w:pos="433"/>
              </w:tabs>
            </w:pPr>
            <w:r w:rsidRPr="002F0657">
              <w:t>25</w:t>
            </w:r>
          </w:p>
        </w:tc>
        <w:tc>
          <w:tcPr>
            <w:tcW w:w="810" w:type="dxa"/>
          </w:tcPr>
          <w:p w:rsidR="00CB6BC7" w:rsidRPr="002F0657" w:rsidRDefault="00CB6BC7" w:rsidP="00D53140">
            <w:pPr>
              <w:pStyle w:val="TableText"/>
              <w:tabs>
                <w:tab w:val="decimal" w:pos="433"/>
              </w:tabs>
            </w:pPr>
            <w:r w:rsidRPr="002F0657">
              <w:t>88</w:t>
            </w:r>
          </w:p>
        </w:tc>
        <w:tc>
          <w:tcPr>
            <w:tcW w:w="810" w:type="dxa"/>
          </w:tcPr>
          <w:p w:rsidR="00CB6BC7" w:rsidRPr="002F0657" w:rsidRDefault="00CB6BC7" w:rsidP="00D53140">
            <w:pPr>
              <w:pStyle w:val="TableText"/>
              <w:tabs>
                <w:tab w:val="decimal" w:pos="433"/>
              </w:tabs>
            </w:pPr>
            <w:r w:rsidRPr="002F0657">
              <w:t>112</w:t>
            </w:r>
          </w:p>
        </w:tc>
        <w:tc>
          <w:tcPr>
            <w:tcW w:w="4230" w:type="dxa"/>
          </w:tcPr>
          <w:p w:rsidR="00CB6BC7" w:rsidRPr="002F0657" w:rsidRDefault="00CB6BC7" w:rsidP="00D53140">
            <w:pPr>
              <w:pStyle w:val="TableText"/>
            </w:pPr>
            <w:r w:rsidRPr="002F0657">
              <w:t xml:space="preserve">This ID differentiates between individuals when family members share the subscriber ID </w:t>
            </w:r>
          </w:p>
        </w:tc>
      </w:tr>
      <w:tr w:rsidR="00CB6BC7" w:rsidRPr="002F0657" w:rsidTr="00D53140">
        <w:trPr>
          <w:cantSplit/>
        </w:trPr>
        <w:tc>
          <w:tcPr>
            <w:tcW w:w="3060" w:type="dxa"/>
            <w:shd w:val="clear" w:color="auto" w:fill="E0E0E0"/>
          </w:tcPr>
          <w:p w:rsidR="00CB6BC7" w:rsidRPr="002F0657" w:rsidRDefault="00CB6BC7" w:rsidP="00D53140">
            <w:pPr>
              <w:pStyle w:val="TableText"/>
            </w:pPr>
            <w:r w:rsidRPr="002F0657">
              <w:t>Member first name</w:t>
            </w:r>
          </w:p>
        </w:tc>
        <w:tc>
          <w:tcPr>
            <w:tcW w:w="810" w:type="dxa"/>
            <w:shd w:val="clear" w:color="auto" w:fill="E0E0E0"/>
          </w:tcPr>
          <w:p w:rsidR="00CB6BC7" w:rsidRPr="002F0657" w:rsidRDefault="00CB6BC7" w:rsidP="00D53140">
            <w:pPr>
              <w:pStyle w:val="TableText"/>
              <w:tabs>
                <w:tab w:val="decimal" w:pos="433"/>
              </w:tabs>
            </w:pPr>
            <w:r w:rsidRPr="002F0657">
              <w:t>25</w:t>
            </w:r>
          </w:p>
        </w:tc>
        <w:tc>
          <w:tcPr>
            <w:tcW w:w="810" w:type="dxa"/>
            <w:shd w:val="clear" w:color="auto" w:fill="E0E0E0"/>
          </w:tcPr>
          <w:p w:rsidR="00CB6BC7" w:rsidRPr="002F0657" w:rsidRDefault="00CB6BC7" w:rsidP="00D53140">
            <w:pPr>
              <w:pStyle w:val="TableText"/>
              <w:tabs>
                <w:tab w:val="decimal" w:pos="433"/>
              </w:tabs>
            </w:pPr>
            <w:r w:rsidRPr="002F0657">
              <w:t>113</w:t>
            </w:r>
          </w:p>
        </w:tc>
        <w:tc>
          <w:tcPr>
            <w:tcW w:w="810" w:type="dxa"/>
            <w:shd w:val="clear" w:color="auto" w:fill="E0E0E0"/>
          </w:tcPr>
          <w:p w:rsidR="00CB6BC7" w:rsidRPr="002F0657" w:rsidRDefault="00CB6BC7" w:rsidP="00D53140">
            <w:pPr>
              <w:pStyle w:val="TableText"/>
              <w:tabs>
                <w:tab w:val="decimal" w:pos="433"/>
              </w:tabs>
            </w:pPr>
            <w:r w:rsidRPr="002F0657">
              <w:t>137</w:t>
            </w:r>
          </w:p>
        </w:tc>
        <w:tc>
          <w:tcPr>
            <w:tcW w:w="4230" w:type="dxa"/>
            <w:shd w:val="clear" w:color="auto" w:fill="E0E0E0"/>
          </w:tcPr>
          <w:p w:rsidR="00CB6BC7" w:rsidRPr="002F0657" w:rsidRDefault="00CB6BC7" w:rsidP="00D53140">
            <w:pPr>
              <w:pStyle w:val="TableText"/>
            </w:pPr>
          </w:p>
        </w:tc>
      </w:tr>
      <w:tr w:rsidR="00CB6BC7" w:rsidRPr="002F0657" w:rsidTr="00D53140">
        <w:trPr>
          <w:cantSplit/>
        </w:trPr>
        <w:tc>
          <w:tcPr>
            <w:tcW w:w="3060" w:type="dxa"/>
          </w:tcPr>
          <w:p w:rsidR="00CB6BC7" w:rsidRPr="002F0657" w:rsidRDefault="00CB6BC7" w:rsidP="00D53140">
            <w:pPr>
              <w:pStyle w:val="TableText"/>
            </w:pPr>
            <w:r w:rsidRPr="002F0657">
              <w:t>Member middle initial</w:t>
            </w:r>
          </w:p>
        </w:tc>
        <w:tc>
          <w:tcPr>
            <w:tcW w:w="810" w:type="dxa"/>
          </w:tcPr>
          <w:p w:rsidR="00CB6BC7" w:rsidRPr="002F0657" w:rsidRDefault="00CB6BC7" w:rsidP="00D53140">
            <w:pPr>
              <w:pStyle w:val="TableText"/>
              <w:tabs>
                <w:tab w:val="decimal" w:pos="433"/>
              </w:tabs>
            </w:pPr>
            <w:r w:rsidRPr="002F0657">
              <w:t>1</w:t>
            </w:r>
          </w:p>
        </w:tc>
        <w:tc>
          <w:tcPr>
            <w:tcW w:w="810" w:type="dxa"/>
          </w:tcPr>
          <w:p w:rsidR="00CB6BC7" w:rsidRPr="002F0657" w:rsidRDefault="00CB6BC7" w:rsidP="00D53140">
            <w:pPr>
              <w:pStyle w:val="TableText"/>
              <w:tabs>
                <w:tab w:val="decimal" w:pos="433"/>
              </w:tabs>
            </w:pPr>
            <w:r w:rsidRPr="002F0657">
              <w:t>138</w:t>
            </w:r>
          </w:p>
        </w:tc>
        <w:tc>
          <w:tcPr>
            <w:tcW w:w="810" w:type="dxa"/>
          </w:tcPr>
          <w:p w:rsidR="00CB6BC7" w:rsidRPr="002F0657" w:rsidRDefault="00CB6BC7" w:rsidP="00D53140">
            <w:pPr>
              <w:pStyle w:val="TableText"/>
              <w:tabs>
                <w:tab w:val="decimal" w:pos="433"/>
              </w:tabs>
            </w:pPr>
            <w:r w:rsidRPr="002F0657">
              <w:t>138</w:t>
            </w:r>
          </w:p>
        </w:tc>
        <w:tc>
          <w:tcPr>
            <w:tcW w:w="4230" w:type="dxa"/>
          </w:tcPr>
          <w:p w:rsidR="00CB6BC7" w:rsidRPr="002F0657" w:rsidRDefault="00CB6BC7" w:rsidP="00D53140">
            <w:pPr>
              <w:pStyle w:val="TableText"/>
            </w:pPr>
          </w:p>
        </w:tc>
      </w:tr>
      <w:tr w:rsidR="00CB6BC7" w:rsidRPr="002F0657" w:rsidTr="00D53140">
        <w:trPr>
          <w:cantSplit/>
        </w:trPr>
        <w:tc>
          <w:tcPr>
            <w:tcW w:w="3060" w:type="dxa"/>
            <w:shd w:val="clear" w:color="auto" w:fill="E0E0E0"/>
          </w:tcPr>
          <w:p w:rsidR="00CB6BC7" w:rsidRPr="002F0657" w:rsidRDefault="00CB6BC7" w:rsidP="00D53140">
            <w:pPr>
              <w:pStyle w:val="TableText"/>
            </w:pPr>
            <w:r w:rsidRPr="002F0657">
              <w:t>Member last name</w:t>
            </w:r>
          </w:p>
        </w:tc>
        <w:tc>
          <w:tcPr>
            <w:tcW w:w="810" w:type="dxa"/>
            <w:shd w:val="clear" w:color="auto" w:fill="E0E0E0"/>
          </w:tcPr>
          <w:p w:rsidR="00CB6BC7" w:rsidRPr="002F0657" w:rsidRDefault="00CB6BC7" w:rsidP="00D53140">
            <w:pPr>
              <w:pStyle w:val="TableText"/>
              <w:tabs>
                <w:tab w:val="decimal" w:pos="433"/>
              </w:tabs>
            </w:pPr>
            <w:r w:rsidRPr="002F0657">
              <w:t>25</w:t>
            </w:r>
          </w:p>
        </w:tc>
        <w:tc>
          <w:tcPr>
            <w:tcW w:w="810" w:type="dxa"/>
            <w:shd w:val="clear" w:color="auto" w:fill="E0E0E0"/>
          </w:tcPr>
          <w:p w:rsidR="00CB6BC7" w:rsidRPr="002F0657" w:rsidRDefault="00CB6BC7" w:rsidP="00D53140">
            <w:pPr>
              <w:pStyle w:val="TableText"/>
              <w:tabs>
                <w:tab w:val="decimal" w:pos="433"/>
              </w:tabs>
            </w:pPr>
            <w:r w:rsidRPr="002F0657">
              <w:t>139</w:t>
            </w:r>
          </w:p>
        </w:tc>
        <w:tc>
          <w:tcPr>
            <w:tcW w:w="810" w:type="dxa"/>
            <w:shd w:val="clear" w:color="auto" w:fill="E0E0E0"/>
          </w:tcPr>
          <w:p w:rsidR="00CB6BC7" w:rsidRPr="002F0657" w:rsidRDefault="00CB6BC7" w:rsidP="00D53140">
            <w:pPr>
              <w:pStyle w:val="TableText"/>
              <w:tabs>
                <w:tab w:val="decimal" w:pos="433"/>
              </w:tabs>
            </w:pPr>
            <w:r w:rsidRPr="002F0657">
              <w:t>163</w:t>
            </w:r>
          </w:p>
        </w:tc>
        <w:tc>
          <w:tcPr>
            <w:tcW w:w="4230" w:type="dxa"/>
            <w:shd w:val="clear" w:color="auto" w:fill="E0E0E0"/>
          </w:tcPr>
          <w:p w:rsidR="00CB6BC7" w:rsidRPr="002F0657" w:rsidRDefault="00CB6BC7" w:rsidP="00D53140">
            <w:pPr>
              <w:pStyle w:val="TableText"/>
            </w:pPr>
          </w:p>
        </w:tc>
      </w:tr>
      <w:tr w:rsidR="00CB6BC7" w:rsidRPr="002F0657" w:rsidTr="00D53140">
        <w:trPr>
          <w:cantSplit/>
        </w:trPr>
        <w:tc>
          <w:tcPr>
            <w:tcW w:w="3060" w:type="dxa"/>
          </w:tcPr>
          <w:p w:rsidR="00CB6BC7" w:rsidRPr="002F0657" w:rsidRDefault="00CB6BC7" w:rsidP="00D53140">
            <w:pPr>
              <w:pStyle w:val="TableText"/>
            </w:pPr>
            <w:r w:rsidRPr="002F0657">
              <w:t>Member gender*</w:t>
            </w:r>
          </w:p>
        </w:tc>
        <w:tc>
          <w:tcPr>
            <w:tcW w:w="810" w:type="dxa"/>
          </w:tcPr>
          <w:p w:rsidR="00CB6BC7" w:rsidRPr="002F0657" w:rsidRDefault="00CB6BC7" w:rsidP="00D53140">
            <w:pPr>
              <w:pStyle w:val="TableText"/>
              <w:tabs>
                <w:tab w:val="decimal" w:pos="433"/>
              </w:tabs>
            </w:pPr>
            <w:r w:rsidRPr="002F0657">
              <w:t>1</w:t>
            </w:r>
          </w:p>
        </w:tc>
        <w:tc>
          <w:tcPr>
            <w:tcW w:w="810" w:type="dxa"/>
          </w:tcPr>
          <w:p w:rsidR="00CB6BC7" w:rsidRPr="002F0657" w:rsidRDefault="00CB6BC7" w:rsidP="00D53140">
            <w:pPr>
              <w:pStyle w:val="TableText"/>
              <w:tabs>
                <w:tab w:val="decimal" w:pos="433"/>
              </w:tabs>
            </w:pPr>
            <w:r w:rsidRPr="002F0657">
              <w:t>164</w:t>
            </w:r>
          </w:p>
        </w:tc>
        <w:tc>
          <w:tcPr>
            <w:tcW w:w="810" w:type="dxa"/>
          </w:tcPr>
          <w:p w:rsidR="00CB6BC7" w:rsidRPr="002F0657" w:rsidRDefault="00CB6BC7" w:rsidP="00D53140">
            <w:pPr>
              <w:pStyle w:val="TableText"/>
              <w:tabs>
                <w:tab w:val="decimal" w:pos="433"/>
              </w:tabs>
            </w:pPr>
            <w:r w:rsidRPr="002F0657">
              <w:t>164</w:t>
            </w:r>
          </w:p>
        </w:tc>
        <w:tc>
          <w:tcPr>
            <w:tcW w:w="4230" w:type="dxa"/>
          </w:tcPr>
          <w:p w:rsidR="00CB6BC7" w:rsidRPr="002F0657" w:rsidRDefault="00CB6BC7" w:rsidP="00D53140">
            <w:pPr>
              <w:pStyle w:val="TableText"/>
            </w:pPr>
            <w:r w:rsidRPr="002F0657">
              <w:t>1 = Male</w:t>
            </w:r>
            <w:r w:rsidRPr="002F0657">
              <w:br/>
              <w:t>2 = Female</w:t>
            </w:r>
            <w:r w:rsidRPr="002F0657">
              <w:br/>
              <w:t>9 = Missing/not available</w:t>
            </w:r>
          </w:p>
        </w:tc>
      </w:tr>
      <w:tr w:rsidR="00CB6BC7" w:rsidRPr="002F0657" w:rsidTr="00D53140">
        <w:trPr>
          <w:cantSplit/>
        </w:trPr>
        <w:tc>
          <w:tcPr>
            <w:tcW w:w="3060" w:type="dxa"/>
            <w:shd w:val="clear" w:color="auto" w:fill="E0E0E0"/>
          </w:tcPr>
          <w:p w:rsidR="00CB6BC7" w:rsidRPr="002F0657" w:rsidRDefault="00CB6BC7" w:rsidP="00D53140">
            <w:pPr>
              <w:pStyle w:val="TableText"/>
            </w:pPr>
            <w:r w:rsidRPr="002F0657">
              <w:t>Member date of birth</w:t>
            </w:r>
          </w:p>
        </w:tc>
        <w:tc>
          <w:tcPr>
            <w:tcW w:w="810" w:type="dxa"/>
            <w:shd w:val="clear" w:color="auto" w:fill="E0E0E0"/>
          </w:tcPr>
          <w:p w:rsidR="00CB6BC7" w:rsidRPr="002F0657" w:rsidRDefault="00CB6BC7" w:rsidP="00D53140">
            <w:pPr>
              <w:pStyle w:val="TableText"/>
              <w:tabs>
                <w:tab w:val="decimal" w:pos="433"/>
              </w:tabs>
            </w:pPr>
            <w:r w:rsidRPr="002F0657">
              <w:t>8</w:t>
            </w:r>
          </w:p>
        </w:tc>
        <w:tc>
          <w:tcPr>
            <w:tcW w:w="810" w:type="dxa"/>
            <w:shd w:val="clear" w:color="auto" w:fill="E0E0E0"/>
          </w:tcPr>
          <w:p w:rsidR="00CB6BC7" w:rsidRPr="002F0657" w:rsidRDefault="00CB6BC7" w:rsidP="00D53140">
            <w:pPr>
              <w:pStyle w:val="TableText"/>
              <w:tabs>
                <w:tab w:val="decimal" w:pos="433"/>
              </w:tabs>
            </w:pPr>
            <w:r w:rsidRPr="002F0657">
              <w:t>165</w:t>
            </w:r>
          </w:p>
        </w:tc>
        <w:tc>
          <w:tcPr>
            <w:tcW w:w="810" w:type="dxa"/>
            <w:shd w:val="clear" w:color="auto" w:fill="E0E0E0"/>
          </w:tcPr>
          <w:p w:rsidR="00CB6BC7" w:rsidRPr="002F0657" w:rsidRDefault="00CB6BC7" w:rsidP="00D53140">
            <w:pPr>
              <w:pStyle w:val="TableText"/>
              <w:tabs>
                <w:tab w:val="decimal" w:pos="433"/>
              </w:tabs>
            </w:pPr>
            <w:r w:rsidRPr="002F0657">
              <w:t>172</w:t>
            </w:r>
          </w:p>
        </w:tc>
        <w:tc>
          <w:tcPr>
            <w:tcW w:w="4230" w:type="dxa"/>
            <w:shd w:val="clear" w:color="auto" w:fill="E0E0E0"/>
          </w:tcPr>
          <w:p w:rsidR="00CB6BC7" w:rsidRPr="002F0657" w:rsidRDefault="00CB6BC7" w:rsidP="00D53140">
            <w:pPr>
              <w:pStyle w:val="TableText"/>
            </w:pPr>
            <w:r w:rsidRPr="002F0657">
              <w:t>MMDDYYYY</w:t>
            </w:r>
          </w:p>
        </w:tc>
      </w:tr>
      <w:tr w:rsidR="00CB6BC7" w:rsidRPr="002F0657" w:rsidTr="00D53140">
        <w:trPr>
          <w:cantSplit/>
        </w:trPr>
        <w:tc>
          <w:tcPr>
            <w:tcW w:w="3060" w:type="dxa"/>
          </w:tcPr>
          <w:p w:rsidR="00CB6BC7" w:rsidRPr="002F0657" w:rsidRDefault="00CB6BC7" w:rsidP="00D53140">
            <w:pPr>
              <w:pStyle w:val="TableText"/>
            </w:pPr>
            <w:r w:rsidRPr="002F0657">
              <w:t>Member mailing address 1</w:t>
            </w:r>
          </w:p>
        </w:tc>
        <w:tc>
          <w:tcPr>
            <w:tcW w:w="810" w:type="dxa"/>
          </w:tcPr>
          <w:p w:rsidR="00CB6BC7" w:rsidRPr="002F0657" w:rsidRDefault="00CB6BC7" w:rsidP="00D53140">
            <w:pPr>
              <w:pStyle w:val="TableText"/>
              <w:tabs>
                <w:tab w:val="decimal" w:pos="433"/>
              </w:tabs>
            </w:pPr>
            <w:r w:rsidRPr="002F0657">
              <w:t>50</w:t>
            </w:r>
          </w:p>
        </w:tc>
        <w:tc>
          <w:tcPr>
            <w:tcW w:w="810" w:type="dxa"/>
          </w:tcPr>
          <w:p w:rsidR="00CB6BC7" w:rsidRPr="002F0657" w:rsidRDefault="00CB6BC7" w:rsidP="00D53140">
            <w:pPr>
              <w:pStyle w:val="TableText"/>
              <w:tabs>
                <w:tab w:val="decimal" w:pos="433"/>
              </w:tabs>
            </w:pPr>
            <w:r w:rsidRPr="002F0657">
              <w:t>173</w:t>
            </w:r>
          </w:p>
        </w:tc>
        <w:tc>
          <w:tcPr>
            <w:tcW w:w="810" w:type="dxa"/>
          </w:tcPr>
          <w:p w:rsidR="00CB6BC7" w:rsidRPr="002F0657" w:rsidRDefault="00CB6BC7" w:rsidP="00D53140">
            <w:pPr>
              <w:pStyle w:val="TableText"/>
              <w:tabs>
                <w:tab w:val="decimal" w:pos="433"/>
              </w:tabs>
            </w:pPr>
            <w:r w:rsidRPr="002F0657">
              <w:t>222</w:t>
            </w:r>
          </w:p>
        </w:tc>
        <w:tc>
          <w:tcPr>
            <w:tcW w:w="4230" w:type="dxa"/>
          </w:tcPr>
          <w:p w:rsidR="00CB6BC7" w:rsidRPr="002F0657" w:rsidRDefault="00CB6BC7" w:rsidP="00D53140">
            <w:pPr>
              <w:pStyle w:val="TableText"/>
            </w:pPr>
            <w:r w:rsidRPr="002F0657">
              <w:t>Street address or post office box</w:t>
            </w:r>
          </w:p>
        </w:tc>
      </w:tr>
      <w:tr w:rsidR="00CB6BC7" w:rsidRPr="002F0657" w:rsidTr="00D53140">
        <w:trPr>
          <w:cantSplit/>
        </w:trPr>
        <w:tc>
          <w:tcPr>
            <w:tcW w:w="3060" w:type="dxa"/>
            <w:shd w:val="clear" w:color="auto" w:fill="E0E0E0"/>
          </w:tcPr>
          <w:p w:rsidR="00CB6BC7" w:rsidRPr="002F0657" w:rsidRDefault="00CB6BC7" w:rsidP="00D53140">
            <w:pPr>
              <w:pStyle w:val="TableText"/>
            </w:pPr>
            <w:r w:rsidRPr="002F0657">
              <w:t>Member mailing address 2</w:t>
            </w:r>
          </w:p>
        </w:tc>
        <w:tc>
          <w:tcPr>
            <w:tcW w:w="810" w:type="dxa"/>
            <w:shd w:val="clear" w:color="auto" w:fill="E0E0E0"/>
          </w:tcPr>
          <w:p w:rsidR="00CB6BC7" w:rsidRPr="002F0657" w:rsidRDefault="00CB6BC7" w:rsidP="00D53140">
            <w:pPr>
              <w:pStyle w:val="TableText"/>
              <w:tabs>
                <w:tab w:val="decimal" w:pos="433"/>
              </w:tabs>
            </w:pPr>
            <w:r w:rsidRPr="002F0657">
              <w:t>50</w:t>
            </w:r>
          </w:p>
        </w:tc>
        <w:tc>
          <w:tcPr>
            <w:tcW w:w="810" w:type="dxa"/>
            <w:shd w:val="clear" w:color="auto" w:fill="E0E0E0"/>
          </w:tcPr>
          <w:p w:rsidR="00CB6BC7" w:rsidRPr="002F0657" w:rsidRDefault="00CB6BC7" w:rsidP="00D53140">
            <w:pPr>
              <w:pStyle w:val="TableText"/>
              <w:tabs>
                <w:tab w:val="decimal" w:pos="433"/>
              </w:tabs>
            </w:pPr>
            <w:r w:rsidRPr="002F0657">
              <w:t>223</w:t>
            </w:r>
          </w:p>
        </w:tc>
        <w:tc>
          <w:tcPr>
            <w:tcW w:w="810" w:type="dxa"/>
            <w:shd w:val="clear" w:color="auto" w:fill="E0E0E0"/>
          </w:tcPr>
          <w:p w:rsidR="00CB6BC7" w:rsidRPr="002F0657" w:rsidRDefault="00CB6BC7" w:rsidP="00D53140">
            <w:pPr>
              <w:pStyle w:val="TableText"/>
              <w:tabs>
                <w:tab w:val="decimal" w:pos="433"/>
              </w:tabs>
            </w:pPr>
            <w:r w:rsidRPr="002F0657">
              <w:t>272</w:t>
            </w:r>
          </w:p>
        </w:tc>
        <w:tc>
          <w:tcPr>
            <w:tcW w:w="4230" w:type="dxa"/>
            <w:shd w:val="clear" w:color="auto" w:fill="E0E0E0"/>
          </w:tcPr>
          <w:p w:rsidR="00CB6BC7" w:rsidRPr="002F0657" w:rsidRDefault="00CB6BC7" w:rsidP="00D53140">
            <w:pPr>
              <w:pStyle w:val="TableText"/>
            </w:pPr>
            <w:r w:rsidRPr="002F0657">
              <w:t>Mailing address 2nd line (if needed)</w:t>
            </w:r>
          </w:p>
        </w:tc>
      </w:tr>
      <w:tr w:rsidR="00CB6BC7" w:rsidRPr="002F0657" w:rsidTr="00D53140">
        <w:trPr>
          <w:cantSplit/>
        </w:trPr>
        <w:tc>
          <w:tcPr>
            <w:tcW w:w="3060" w:type="dxa"/>
          </w:tcPr>
          <w:p w:rsidR="00CB6BC7" w:rsidRPr="002F0657" w:rsidRDefault="00CB6BC7" w:rsidP="00D53140">
            <w:pPr>
              <w:pStyle w:val="TableText"/>
            </w:pPr>
            <w:r w:rsidRPr="002F0657">
              <w:t>Member city</w:t>
            </w:r>
          </w:p>
        </w:tc>
        <w:tc>
          <w:tcPr>
            <w:tcW w:w="810" w:type="dxa"/>
          </w:tcPr>
          <w:p w:rsidR="00CB6BC7" w:rsidRPr="002F0657" w:rsidRDefault="00CB6BC7" w:rsidP="00D53140">
            <w:pPr>
              <w:pStyle w:val="TableText"/>
              <w:tabs>
                <w:tab w:val="decimal" w:pos="433"/>
              </w:tabs>
            </w:pPr>
            <w:r w:rsidRPr="002F0657">
              <w:t>30</w:t>
            </w:r>
          </w:p>
        </w:tc>
        <w:tc>
          <w:tcPr>
            <w:tcW w:w="810" w:type="dxa"/>
          </w:tcPr>
          <w:p w:rsidR="00CB6BC7" w:rsidRPr="002F0657" w:rsidRDefault="00CB6BC7" w:rsidP="00D53140">
            <w:pPr>
              <w:pStyle w:val="TableText"/>
              <w:tabs>
                <w:tab w:val="decimal" w:pos="433"/>
              </w:tabs>
            </w:pPr>
            <w:r w:rsidRPr="002F0657">
              <w:t>273</w:t>
            </w:r>
          </w:p>
        </w:tc>
        <w:tc>
          <w:tcPr>
            <w:tcW w:w="810" w:type="dxa"/>
          </w:tcPr>
          <w:p w:rsidR="00CB6BC7" w:rsidRPr="002F0657" w:rsidRDefault="00CB6BC7" w:rsidP="00D53140">
            <w:pPr>
              <w:pStyle w:val="TableText"/>
              <w:tabs>
                <w:tab w:val="decimal" w:pos="433"/>
              </w:tabs>
            </w:pPr>
            <w:r w:rsidRPr="002F0657">
              <w:t>302</w:t>
            </w:r>
          </w:p>
        </w:tc>
        <w:tc>
          <w:tcPr>
            <w:tcW w:w="4230" w:type="dxa"/>
          </w:tcPr>
          <w:p w:rsidR="00CB6BC7" w:rsidRPr="002F0657" w:rsidRDefault="00CB6BC7" w:rsidP="00D53140">
            <w:pPr>
              <w:pStyle w:val="TableText"/>
            </w:pPr>
            <w:r w:rsidRPr="002F0657">
              <w:t xml:space="preserve"> </w:t>
            </w:r>
          </w:p>
        </w:tc>
      </w:tr>
      <w:tr w:rsidR="00CB6BC7" w:rsidRPr="002F0657" w:rsidTr="00D53140">
        <w:trPr>
          <w:cantSplit/>
        </w:trPr>
        <w:tc>
          <w:tcPr>
            <w:tcW w:w="3060" w:type="dxa"/>
            <w:shd w:val="clear" w:color="auto" w:fill="E0E0E0"/>
          </w:tcPr>
          <w:p w:rsidR="00CB6BC7" w:rsidRPr="002F0657" w:rsidRDefault="00CB6BC7" w:rsidP="00D53140">
            <w:pPr>
              <w:pStyle w:val="TableText"/>
            </w:pPr>
            <w:r w:rsidRPr="002F0657">
              <w:t>Member state</w:t>
            </w:r>
          </w:p>
        </w:tc>
        <w:tc>
          <w:tcPr>
            <w:tcW w:w="810" w:type="dxa"/>
            <w:shd w:val="clear" w:color="auto" w:fill="E0E0E0"/>
          </w:tcPr>
          <w:p w:rsidR="00CB6BC7" w:rsidRPr="002F0657" w:rsidRDefault="00CB6BC7" w:rsidP="00D53140">
            <w:pPr>
              <w:pStyle w:val="TableText"/>
              <w:tabs>
                <w:tab w:val="decimal" w:pos="433"/>
              </w:tabs>
            </w:pPr>
            <w:r w:rsidRPr="002F0657">
              <w:t>2</w:t>
            </w:r>
          </w:p>
        </w:tc>
        <w:tc>
          <w:tcPr>
            <w:tcW w:w="810" w:type="dxa"/>
            <w:shd w:val="clear" w:color="auto" w:fill="E0E0E0"/>
          </w:tcPr>
          <w:p w:rsidR="00CB6BC7" w:rsidRPr="002F0657" w:rsidRDefault="00CB6BC7" w:rsidP="00D53140">
            <w:pPr>
              <w:pStyle w:val="TableText"/>
              <w:tabs>
                <w:tab w:val="decimal" w:pos="433"/>
              </w:tabs>
            </w:pPr>
            <w:r w:rsidRPr="002F0657">
              <w:t>303</w:t>
            </w:r>
          </w:p>
        </w:tc>
        <w:tc>
          <w:tcPr>
            <w:tcW w:w="810" w:type="dxa"/>
            <w:shd w:val="clear" w:color="auto" w:fill="E0E0E0"/>
          </w:tcPr>
          <w:p w:rsidR="00CB6BC7" w:rsidRPr="002F0657" w:rsidRDefault="00CB6BC7" w:rsidP="00D53140">
            <w:pPr>
              <w:pStyle w:val="TableText"/>
              <w:tabs>
                <w:tab w:val="decimal" w:pos="433"/>
              </w:tabs>
            </w:pPr>
            <w:r w:rsidRPr="002F0657">
              <w:t>304</w:t>
            </w:r>
          </w:p>
        </w:tc>
        <w:tc>
          <w:tcPr>
            <w:tcW w:w="4230" w:type="dxa"/>
            <w:shd w:val="clear" w:color="auto" w:fill="E0E0E0"/>
          </w:tcPr>
          <w:p w:rsidR="00CB6BC7" w:rsidRPr="002F0657" w:rsidRDefault="00CB6BC7" w:rsidP="00D53140">
            <w:pPr>
              <w:pStyle w:val="TableText"/>
            </w:pPr>
            <w:r w:rsidRPr="002F0657">
              <w:t>2-character state abbreviation</w:t>
            </w:r>
          </w:p>
        </w:tc>
      </w:tr>
      <w:tr w:rsidR="00CB6BC7" w:rsidRPr="002F0657" w:rsidTr="00D53140">
        <w:trPr>
          <w:cantSplit/>
        </w:trPr>
        <w:tc>
          <w:tcPr>
            <w:tcW w:w="3060" w:type="dxa"/>
          </w:tcPr>
          <w:p w:rsidR="00CB6BC7" w:rsidRPr="002F0657" w:rsidRDefault="00CB6BC7" w:rsidP="00D53140">
            <w:pPr>
              <w:pStyle w:val="TableText"/>
            </w:pPr>
            <w:r w:rsidRPr="002F0657">
              <w:t>Member zip code</w:t>
            </w:r>
          </w:p>
        </w:tc>
        <w:tc>
          <w:tcPr>
            <w:tcW w:w="810" w:type="dxa"/>
          </w:tcPr>
          <w:p w:rsidR="00CB6BC7" w:rsidRPr="002F0657" w:rsidRDefault="00CB6BC7" w:rsidP="00D53140">
            <w:pPr>
              <w:pStyle w:val="TableText"/>
              <w:tabs>
                <w:tab w:val="decimal" w:pos="433"/>
              </w:tabs>
            </w:pPr>
            <w:r w:rsidRPr="002F0657">
              <w:t>5</w:t>
            </w:r>
          </w:p>
        </w:tc>
        <w:tc>
          <w:tcPr>
            <w:tcW w:w="810" w:type="dxa"/>
          </w:tcPr>
          <w:p w:rsidR="00CB6BC7" w:rsidRPr="002F0657" w:rsidRDefault="00CB6BC7" w:rsidP="00D53140">
            <w:pPr>
              <w:pStyle w:val="TableText"/>
              <w:tabs>
                <w:tab w:val="decimal" w:pos="433"/>
              </w:tabs>
            </w:pPr>
            <w:r w:rsidRPr="002F0657">
              <w:t>305</w:t>
            </w:r>
          </w:p>
        </w:tc>
        <w:tc>
          <w:tcPr>
            <w:tcW w:w="810" w:type="dxa"/>
          </w:tcPr>
          <w:p w:rsidR="00CB6BC7" w:rsidRPr="002F0657" w:rsidRDefault="00CB6BC7" w:rsidP="00D53140">
            <w:pPr>
              <w:pStyle w:val="TableText"/>
              <w:tabs>
                <w:tab w:val="decimal" w:pos="433"/>
              </w:tabs>
            </w:pPr>
            <w:r w:rsidRPr="002F0657">
              <w:t>309</w:t>
            </w:r>
          </w:p>
        </w:tc>
        <w:tc>
          <w:tcPr>
            <w:tcW w:w="4230" w:type="dxa"/>
          </w:tcPr>
          <w:p w:rsidR="00CB6BC7" w:rsidRPr="002F0657" w:rsidRDefault="00CB6BC7" w:rsidP="00D53140">
            <w:pPr>
              <w:pStyle w:val="TableText"/>
            </w:pPr>
            <w:r w:rsidRPr="002F0657">
              <w:t>5-digit number</w:t>
            </w:r>
          </w:p>
        </w:tc>
      </w:tr>
      <w:tr w:rsidR="00CB6BC7" w:rsidRPr="002F0657" w:rsidTr="00D53140">
        <w:trPr>
          <w:cantSplit/>
        </w:trPr>
        <w:tc>
          <w:tcPr>
            <w:tcW w:w="3060" w:type="dxa"/>
            <w:shd w:val="clear" w:color="auto" w:fill="E0E0E0"/>
          </w:tcPr>
          <w:p w:rsidR="00CB6BC7" w:rsidRPr="002F0657" w:rsidRDefault="00CB6BC7" w:rsidP="00D53140">
            <w:pPr>
              <w:pStyle w:val="TableText"/>
            </w:pPr>
            <w:r w:rsidRPr="002F0657">
              <w:t>Member telephone number</w:t>
            </w:r>
          </w:p>
        </w:tc>
        <w:tc>
          <w:tcPr>
            <w:tcW w:w="810" w:type="dxa"/>
            <w:shd w:val="clear" w:color="auto" w:fill="E0E0E0"/>
          </w:tcPr>
          <w:p w:rsidR="00CB6BC7" w:rsidRPr="002F0657" w:rsidRDefault="00CB6BC7" w:rsidP="00D53140">
            <w:pPr>
              <w:pStyle w:val="TableText"/>
              <w:tabs>
                <w:tab w:val="decimal" w:pos="433"/>
              </w:tabs>
            </w:pPr>
            <w:r w:rsidRPr="002F0657">
              <w:t>10</w:t>
            </w:r>
          </w:p>
        </w:tc>
        <w:tc>
          <w:tcPr>
            <w:tcW w:w="810" w:type="dxa"/>
            <w:shd w:val="clear" w:color="auto" w:fill="E0E0E0"/>
          </w:tcPr>
          <w:p w:rsidR="00CB6BC7" w:rsidRPr="002F0657" w:rsidRDefault="00CB6BC7" w:rsidP="00D53140">
            <w:pPr>
              <w:pStyle w:val="TableText"/>
              <w:tabs>
                <w:tab w:val="decimal" w:pos="433"/>
              </w:tabs>
            </w:pPr>
            <w:r w:rsidRPr="002F0657">
              <w:t>310</w:t>
            </w:r>
          </w:p>
        </w:tc>
        <w:tc>
          <w:tcPr>
            <w:tcW w:w="810" w:type="dxa"/>
            <w:shd w:val="clear" w:color="auto" w:fill="E0E0E0"/>
          </w:tcPr>
          <w:p w:rsidR="00CB6BC7" w:rsidRPr="002F0657" w:rsidRDefault="00CB6BC7" w:rsidP="00D53140">
            <w:pPr>
              <w:pStyle w:val="TableText"/>
              <w:tabs>
                <w:tab w:val="decimal" w:pos="433"/>
              </w:tabs>
            </w:pPr>
            <w:r w:rsidRPr="002F0657">
              <w:t>319</w:t>
            </w:r>
          </w:p>
        </w:tc>
        <w:tc>
          <w:tcPr>
            <w:tcW w:w="4230" w:type="dxa"/>
            <w:shd w:val="clear" w:color="auto" w:fill="E0E0E0"/>
          </w:tcPr>
          <w:p w:rsidR="00CB6BC7" w:rsidRPr="002F0657" w:rsidRDefault="00CB6BC7" w:rsidP="00D53140">
            <w:pPr>
              <w:pStyle w:val="TableText"/>
            </w:pPr>
            <w:r w:rsidRPr="002F0657">
              <w:t>3-digit area code plus 7-digit phone number; no separators or delimiters</w:t>
            </w:r>
          </w:p>
        </w:tc>
      </w:tr>
      <w:tr w:rsidR="00CB6BC7" w:rsidRPr="002F0657" w:rsidTr="00D53140">
        <w:trPr>
          <w:cantSplit/>
        </w:trPr>
        <w:tc>
          <w:tcPr>
            <w:tcW w:w="3060" w:type="dxa"/>
          </w:tcPr>
          <w:p w:rsidR="00CB6BC7" w:rsidRPr="002F0657" w:rsidRDefault="00CB6BC7" w:rsidP="00D53140">
            <w:pPr>
              <w:pStyle w:val="TableText"/>
            </w:pPr>
            <w:r w:rsidRPr="002F0657">
              <w:t>Parent/caretaker first name</w:t>
            </w:r>
          </w:p>
        </w:tc>
        <w:tc>
          <w:tcPr>
            <w:tcW w:w="810" w:type="dxa"/>
          </w:tcPr>
          <w:p w:rsidR="00CB6BC7" w:rsidRPr="002F0657" w:rsidRDefault="00CB6BC7" w:rsidP="00D53140">
            <w:pPr>
              <w:pStyle w:val="TableText"/>
              <w:tabs>
                <w:tab w:val="decimal" w:pos="433"/>
              </w:tabs>
            </w:pPr>
            <w:r w:rsidRPr="002F0657">
              <w:t>25</w:t>
            </w:r>
          </w:p>
        </w:tc>
        <w:tc>
          <w:tcPr>
            <w:tcW w:w="810" w:type="dxa"/>
          </w:tcPr>
          <w:p w:rsidR="00CB6BC7" w:rsidRPr="002F0657" w:rsidRDefault="00CB6BC7" w:rsidP="00D53140">
            <w:pPr>
              <w:pStyle w:val="TableText"/>
              <w:tabs>
                <w:tab w:val="decimal" w:pos="433"/>
              </w:tabs>
            </w:pPr>
            <w:r w:rsidRPr="002F0657">
              <w:t>320</w:t>
            </w:r>
          </w:p>
        </w:tc>
        <w:tc>
          <w:tcPr>
            <w:tcW w:w="810" w:type="dxa"/>
          </w:tcPr>
          <w:p w:rsidR="00CB6BC7" w:rsidRPr="002F0657" w:rsidRDefault="00CB6BC7" w:rsidP="00D53140">
            <w:pPr>
              <w:pStyle w:val="TableText"/>
              <w:tabs>
                <w:tab w:val="decimal" w:pos="433"/>
              </w:tabs>
            </w:pPr>
            <w:r w:rsidRPr="002F0657">
              <w:t>344</w:t>
            </w:r>
          </w:p>
        </w:tc>
        <w:tc>
          <w:tcPr>
            <w:tcW w:w="4230" w:type="dxa"/>
          </w:tcPr>
          <w:p w:rsidR="00CB6BC7" w:rsidRPr="002F0657" w:rsidRDefault="00CB6BC7" w:rsidP="00D53140">
            <w:pPr>
              <w:pStyle w:val="TableText"/>
            </w:pPr>
            <w:r w:rsidRPr="002F0657">
              <w:t>Required only if mailing materials are to be addressed to the parent or caretaker</w:t>
            </w:r>
          </w:p>
        </w:tc>
      </w:tr>
      <w:tr w:rsidR="00CB6BC7" w:rsidRPr="002F0657" w:rsidTr="00D53140">
        <w:trPr>
          <w:cantSplit/>
        </w:trPr>
        <w:tc>
          <w:tcPr>
            <w:tcW w:w="3060" w:type="dxa"/>
            <w:shd w:val="clear" w:color="auto" w:fill="E0E0E0"/>
          </w:tcPr>
          <w:p w:rsidR="00CB6BC7" w:rsidRPr="002F0657" w:rsidRDefault="00CB6BC7" w:rsidP="00D53140">
            <w:pPr>
              <w:pStyle w:val="TableText"/>
            </w:pPr>
            <w:r w:rsidRPr="002F0657">
              <w:t>Parent/caretaker middle initial</w:t>
            </w:r>
          </w:p>
        </w:tc>
        <w:tc>
          <w:tcPr>
            <w:tcW w:w="810" w:type="dxa"/>
            <w:shd w:val="clear" w:color="auto" w:fill="E0E0E0"/>
          </w:tcPr>
          <w:p w:rsidR="00CB6BC7" w:rsidRPr="002F0657" w:rsidRDefault="00CB6BC7" w:rsidP="00D53140">
            <w:pPr>
              <w:pStyle w:val="TableText"/>
              <w:tabs>
                <w:tab w:val="decimal" w:pos="433"/>
              </w:tabs>
            </w:pPr>
            <w:r w:rsidRPr="002F0657">
              <w:t>1</w:t>
            </w:r>
          </w:p>
        </w:tc>
        <w:tc>
          <w:tcPr>
            <w:tcW w:w="810" w:type="dxa"/>
            <w:shd w:val="clear" w:color="auto" w:fill="E0E0E0"/>
          </w:tcPr>
          <w:p w:rsidR="00CB6BC7" w:rsidRPr="002F0657" w:rsidRDefault="00CB6BC7" w:rsidP="00D53140">
            <w:pPr>
              <w:pStyle w:val="TableText"/>
              <w:tabs>
                <w:tab w:val="decimal" w:pos="433"/>
              </w:tabs>
            </w:pPr>
            <w:r w:rsidRPr="002F0657">
              <w:t>345</w:t>
            </w:r>
          </w:p>
        </w:tc>
        <w:tc>
          <w:tcPr>
            <w:tcW w:w="810" w:type="dxa"/>
            <w:shd w:val="clear" w:color="auto" w:fill="E0E0E0"/>
          </w:tcPr>
          <w:p w:rsidR="00CB6BC7" w:rsidRPr="002F0657" w:rsidRDefault="00CB6BC7" w:rsidP="00D53140">
            <w:pPr>
              <w:pStyle w:val="TableText"/>
              <w:tabs>
                <w:tab w:val="decimal" w:pos="433"/>
              </w:tabs>
            </w:pPr>
            <w:r w:rsidRPr="002F0657">
              <w:t>345</w:t>
            </w:r>
          </w:p>
        </w:tc>
        <w:tc>
          <w:tcPr>
            <w:tcW w:w="4230" w:type="dxa"/>
            <w:shd w:val="clear" w:color="auto" w:fill="E0E0E0"/>
          </w:tcPr>
          <w:p w:rsidR="00CB6BC7" w:rsidRPr="002F0657" w:rsidRDefault="00CB6BC7" w:rsidP="00D53140">
            <w:pPr>
              <w:pStyle w:val="TableText"/>
            </w:pPr>
            <w:r w:rsidRPr="002F0657">
              <w:t>Required only if mailing materials are to be addressed to the parent or caretaker</w:t>
            </w:r>
          </w:p>
        </w:tc>
      </w:tr>
      <w:tr w:rsidR="00CB6BC7" w:rsidRPr="002F0657" w:rsidTr="00D53140">
        <w:trPr>
          <w:cantSplit/>
        </w:trPr>
        <w:tc>
          <w:tcPr>
            <w:tcW w:w="3060" w:type="dxa"/>
          </w:tcPr>
          <w:p w:rsidR="00CB6BC7" w:rsidRPr="002F0657" w:rsidRDefault="00CB6BC7" w:rsidP="00D53140">
            <w:pPr>
              <w:pStyle w:val="TableText"/>
            </w:pPr>
            <w:r w:rsidRPr="002F0657">
              <w:t>Parent/caretaker last name</w:t>
            </w:r>
          </w:p>
        </w:tc>
        <w:tc>
          <w:tcPr>
            <w:tcW w:w="810" w:type="dxa"/>
          </w:tcPr>
          <w:p w:rsidR="00CB6BC7" w:rsidRPr="002F0657" w:rsidRDefault="00CB6BC7" w:rsidP="00D53140">
            <w:pPr>
              <w:pStyle w:val="TableText"/>
              <w:tabs>
                <w:tab w:val="decimal" w:pos="433"/>
              </w:tabs>
            </w:pPr>
            <w:r w:rsidRPr="002F0657">
              <w:t>25</w:t>
            </w:r>
          </w:p>
        </w:tc>
        <w:tc>
          <w:tcPr>
            <w:tcW w:w="810" w:type="dxa"/>
          </w:tcPr>
          <w:p w:rsidR="00CB6BC7" w:rsidRPr="002F0657" w:rsidRDefault="00CB6BC7" w:rsidP="00D53140">
            <w:pPr>
              <w:pStyle w:val="TableText"/>
              <w:tabs>
                <w:tab w:val="decimal" w:pos="433"/>
              </w:tabs>
            </w:pPr>
            <w:r w:rsidRPr="002F0657">
              <w:t>346</w:t>
            </w:r>
          </w:p>
        </w:tc>
        <w:tc>
          <w:tcPr>
            <w:tcW w:w="810" w:type="dxa"/>
          </w:tcPr>
          <w:p w:rsidR="00CB6BC7" w:rsidRPr="002F0657" w:rsidRDefault="00CB6BC7" w:rsidP="00D53140">
            <w:pPr>
              <w:pStyle w:val="TableText"/>
              <w:tabs>
                <w:tab w:val="decimal" w:pos="433"/>
              </w:tabs>
            </w:pPr>
            <w:r w:rsidRPr="002F0657">
              <w:t>370</w:t>
            </w:r>
          </w:p>
        </w:tc>
        <w:tc>
          <w:tcPr>
            <w:tcW w:w="4230" w:type="dxa"/>
          </w:tcPr>
          <w:p w:rsidR="00CB6BC7" w:rsidRPr="002F0657" w:rsidRDefault="00CB6BC7" w:rsidP="00D53140">
            <w:pPr>
              <w:pStyle w:val="TableText"/>
            </w:pPr>
            <w:r w:rsidRPr="002F0657">
              <w:t>Required only if mailing materials are to be addressed to the parent or caretaker</w:t>
            </w:r>
          </w:p>
        </w:tc>
      </w:tr>
    </w:tbl>
    <w:p w:rsidR="00CB6BC7" w:rsidRPr="002F0657" w:rsidRDefault="00CB6BC7" w:rsidP="00CB6BC7">
      <w:pPr>
        <w:pStyle w:val="TableText"/>
        <w:spacing w:before="120"/>
      </w:pPr>
      <w:r w:rsidRPr="002F0657">
        <w:t>*A valid value is required for every member in the record.</w:t>
      </w:r>
    </w:p>
    <w:p w:rsidR="00CB6BC7" w:rsidRPr="002F0657" w:rsidRDefault="00CB6BC7" w:rsidP="00CB6BC7">
      <w:pPr>
        <w:pStyle w:val="SubHead"/>
        <w:spacing w:before="240"/>
        <w:rPr>
          <w:i/>
        </w:rPr>
      </w:pPr>
      <w:r w:rsidRPr="002F0657">
        <w:rPr>
          <w:i/>
        </w:rPr>
        <w:t>Note</w:t>
      </w:r>
    </w:p>
    <w:p w:rsidR="00CB6BC7" w:rsidRPr="002F0657" w:rsidRDefault="00CB6BC7" w:rsidP="00CB6BC7">
      <w:pPr>
        <w:pStyle w:val="ProcessBullet"/>
        <w:spacing w:before="180"/>
        <w:rPr>
          <w:i/>
        </w:rPr>
      </w:pPr>
      <w:r w:rsidRPr="002F0657">
        <w:rPr>
          <w:i/>
        </w:rPr>
        <w:t xml:space="preserve">For the CAHPS </w:t>
      </w:r>
      <w:r w:rsidR="004554D8" w:rsidRPr="002F0657">
        <w:rPr>
          <w:i/>
        </w:rPr>
        <w:t>5</w:t>
      </w:r>
      <w:r w:rsidRPr="002F0657">
        <w:rPr>
          <w:i/>
        </w:rPr>
        <w:t>.0H Child Survey, the health plan selects one of the following options for personalizing correspondence and, based on this determination, provides either the parent/caretaker’s mailing address or child member’s mailing address information in field positions 173–309:</w:t>
      </w:r>
    </w:p>
    <w:p w:rsidR="00CB6BC7" w:rsidRPr="002F0657" w:rsidRDefault="00CB6BC7" w:rsidP="00CB6BC7">
      <w:pPr>
        <w:pStyle w:val="ProcessDash"/>
        <w:rPr>
          <w:i/>
        </w:rPr>
      </w:pPr>
      <w:r w:rsidRPr="002F0657">
        <w:rPr>
          <w:i/>
        </w:rPr>
        <w:t>Parent/caretaker’s name and child’s name are used in all cover letters</w:t>
      </w:r>
      <w:r w:rsidR="00384881">
        <w:rPr>
          <w:i/>
        </w:rPr>
        <w:t>, postcards</w:t>
      </w:r>
      <w:r w:rsidRPr="002F0657">
        <w:rPr>
          <w:i/>
        </w:rPr>
        <w:t xml:space="preserve"> and envelopes. </w:t>
      </w:r>
      <w:r w:rsidRPr="002F0657">
        <w:rPr>
          <w:i/>
        </w:rPr>
        <w:br/>
        <w:t>Parent/caretaker’s address is used for addressing all mailing pieces.</w:t>
      </w:r>
    </w:p>
    <w:p w:rsidR="00CB6BC7" w:rsidRPr="002F0657" w:rsidRDefault="00CB6BC7" w:rsidP="00CB6BC7">
      <w:pPr>
        <w:pStyle w:val="ProcessDash"/>
        <w:rPr>
          <w:i/>
        </w:rPr>
      </w:pPr>
      <w:r w:rsidRPr="002F0657">
        <w:rPr>
          <w:i/>
        </w:rPr>
        <w:t>Child surveys are addressed “To the parent/caretaker of [child member’s name].” Child member’s address is used for addressing all mailing pieces.</w:t>
      </w:r>
    </w:p>
    <w:p w:rsidR="003C7BFE" w:rsidRPr="002F0657" w:rsidRDefault="003C7BFE" w:rsidP="003C7BFE">
      <w:pPr>
        <w:pStyle w:val="ProcessDash"/>
        <w:numPr>
          <w:ilvl w:val="0"/>
          <w:numId w:val="0"/>
        </w:numPr>
        <w:ind w:left="432" w:hanging="216"/>
        <w:rPr>
          <w:i/>
        </w:rPr>
        <w:sectPr w:rsidR="003C7BFE" w:rsidRPr="002F0657" w:rsidSect="003C7BFE">
          <w:headerReference w:type="even" r:id="rId25"/>
          <w:pgSz w:w="12240" w:h="15840" w:code="1"/>
          <w:pgMar w:top="1080" w:right="1080" w:bottom="1080" w:left="1440" w:header="720" w:footer="720" w:gutter="0"/>
          <w:cols w:space="720"/>
        </w:sectPr>
      </w:pPr>
    </w:p>
    <w:p w:rsidR="00CB6BC7" w:rsidRPr="002F0657" w:rsidRDefault="00CB6BC7" w:rsidP="003C7BFE">
      <w:pPr>
        <w:pStyle w:val="StdHead"/>
        <w:spacing w:before="0"/>
        <w:rPr>
          <w:color w:val="auto"/>
        </w:rPr>
      </w:pPr>
      <w:r w:rsidRPr="002F0657">
        <w:rPr>
          <w:color w:val="auto"/>
        </w:rPr>
        <w:t>CAHPS Sample Frame Validation Process</w:t>
      </w:r>
    </w:p>
    <w:tbl>
      <w:tblPr>
        <w:tblW w:w="98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05"/>
        <w:gridCol w:w="8730"/>
      </w:tblGrid>
      <w:tr w:rsidR="00CB6BC7" w:rsidRPr="002F0657" w:rsidTr="003C7BFE">
        <w:tc>
          <w:tcPr>
            <w:tcW w:w="1105" w:type="dxa"/>
            <w:tcBorders>
              <w:top w:val="nil"/>
              <w:left w:val="nil"/>
              <w:bottom w:val="nil"/>
              <w:right w:val="nil"/>
            </w:tcBorders>
            <w:tcMar>
              <w:left w:w="115" w:type="dxa"/>
              <w:right w:w="115" w:type="dxa"/>
            </w:tcMar>
          </w:tcPr>
          <w:p w:rsidR="00CB6BC7" w:rsidRPr="002F0657" w:rsidRDefault="00CB6BC7" w:rsidP="00D53140">
            <w:pPr>
              <w:pStyle w:val="CommentText"/>
              <w:spacing w:before="180"/>
              <w:jc w:val="right"/>
              <w:rPr>
                <w:rFonts w:cs="Arial"/>
                <w:b/>
                <w:i/>
              </w:rPr>
            </w:pPr>
            <w:r w:rsidRPr="002F0657">
              <w:rPr>
                <w:rFonts w:cs="Arial"/>
                <w:b/>
                <w:i/>
              </w:rPr>
              <w:t xml:space="preserve">Step 1 </w:t>
            </w:r>
          </w:p>
        </w:tc>
        <w:tc>
          <w:tcPr>
            <w:tcW w:w="8730" w:type="dxa"/>
            <w:tcBorders>
              <w:top w:val="nil"/>
              <w:left w:val="nil"/>
              <w:bottom w:val="nil"/>
              <w:right w:val="nil"/>
            </w:tcBorders>
            <w:tcMar>
              <w:left w:w="115" w:type="dxa"/>
              <w:right w:w="115" w:type="dxa"/>
            </w:tcMar>
          </w:tcPr>
          <w:p w:rsidR="00CB6BC7" w:rsidRPr="002F0657" w:rsidRDefault="00CB6BC7" w:rsidP="00D53140">
            <w:pPr>
              <w:pStyle w:val="Body"/>
            </w:pPr>
            <w:r w:rsidRPr="002F0657">
              <w:t>In the Healthcare Organization Questionnaire (HOQ), the health plan enters information on the number of HEDIS/CAHPS survey submissions it intends to report. This is the number of sample frames the health plan must produce.</w:t>
            </w:r>
          </w:p>
        </w:tc>
      </w:tr>
      <w:tr w:rsidR="00CB6BC7" w:rsidRPr="002F0657" w:rsidTr="003C7BFE">
        <w:tc>
          <w:tcPr>
            <w:tcW w:w="1105" w:type="dxa"/>
            <w:tcBorders>
              <w:top w:val="nil"/>
              <w:left w:val="nil"/>
              <w:bottom w:val="nil"/>
              <w:right w:val="nil"/>
            </w:tcBorders>
            <w:tcMar>
              <w:left w:w="115" w:type="dxa"/>
              <w:right w:w="115" w:type="dxa"/>
            </w:tcMar>
          </w:tcPr>
          <w:p w:rsidR="00CB6BC7" w:rsidRPr="002F0657" w:rsidRDefault="00CB6BC7" w:rsidP="00D53140">
            <w:pPr>
              <w:pStyle w:val="CommentText"/>
              <w:spacing w:before="180"/>
              <w:jc w:val="right"/>
              <w:rPr>
                <w:rFonts w:cs="Arial"/>
                <w:b/>
                <w:i/>
              </w:rPr>
            </w:pPr>
            <w:r w:rsidRPr="002F0657">
              <w:rPr>
                <w:rFonts w:cs="Arial"/>
                <w:b/>
                <w:i/>
              </w:rPr>
              <w:t>Step 2</w:t>
            </w:r>
          </w:p>
        </w:tc>
        <w:tc>
          <w:tcPr>
            <w:tcW w:w="8730" w:type="dxa"/>
            <w:tcBorders>
              <w:top w:val="nil"/>
              <w:left w:val="nil"/>
              <w:bottom w:val="nil"/>
              <w:right w:val="nil"/>
            </w:tcBorders>
            <w:tcMar>
              <w:left w:w="115" w:type="dxa"/>
              <w:right w:w="115" w:type="dxa"/>
            </w:tcMar>
          </w:tcPr>
          <w:p w:rsidR="00CB6BC7" w:rsidRPr="002F0657" w:rsidRDefault="00CB6BC7" w:rsidP="00D53140">
            <w:pPr>
              <w:pStyle w:val="Body"/>
            </w:pPr>
            <w:r w:rsidRPr="002F0657">
              <w:t>The health plan generates the sample frame data files according to the HEDIS specifications.</w:t>
            </w:r>
          </w:p>
        </w:tc>
      </w:tr>
      <w:tr w:rsidR="00CB6BC7" w:rsidRPr="002F0657" w:rsidTr="003C7BFE">
        <w:tc>
          <w:tcPr>
            <w:tcW w:w="1105" w:type="dxa"/>
            <w:tcBorders>
              <w:top w:val="nil"/>
              <w:left w:val="nil"/>
              <w:bottom w:val="nil"/>
              <w:right w:val="nil"/>
            </w:tcBorders>
            <w:tcMar>
              <w:left w:w="115" w:type="dxa"/>
              <w:right w:w="115" w:type="dxa"/>
            </w:tcMar>
          </w:tcPr>
          <w:p w:rsidR="00CB6BC7" w:rsidRPr="002F0657" w:rsidRDefault="00CB6BC7" w:rsidP="00D53140">
            <w:pPr>
              <w:pStyle w:val="CommentText"/>
              <w:spacing w:before="180"/>
              <w:jc w:val="right"/>
              <w:rPr>
                <w:rFonts w:cs="Arial"/>
                <w:b/>
                <w:i/>
              </w:rPr>
            </w:pPr>
            <w:r w:rsidRPr="002F0657">
              <w:rPr>
                <w:rFonts w:cs="Arial"/>
                <w:b/>
                <w:i/>
              </w:rPr>
              <w:t>Step 3</w:t>
            </w:r>
          </w:p>
        </w:tc>
        <w:tc>
          <w:tcPr>
            <w:tcW w:w="8730"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health plan delivers the sample frame data files to the HEDIS Compliance Auditor. </w:t>
            </w:r>
          </w:p>
        </w:tc>
      </w:tr>
      <w:tr w:rsidR="00CB6BC7" w:rsidRPr="002F0657" w:rsidTr="003C7BFE">
        <w:tc>
          <w:tcPr>
            <w:tcW w:w="1105" w:type="dxa"/>
            <w:tcBorders>
              <w:top w:val="nil"/>
              <w:left w:val="nil"/>
              <w:bottom w:val="nil"/>
              <w:right w:val="nil"/>
            </w:tcBorders>
            <w:tcMar>
              <w:left w:w="115" w:type="dxa"/>
              <w:right w:w="115" w:type="dxa"/>
            </w:tcMar>
          </w:tcPr>
          <w:p w:rsidR="00CB6BC7" w:rsidRPr="002F0657" w:rsidRDefault="00CB6BC7" w:rsidP="00D53140">
            <w:pPr>
              <w:pStyle w:val="CommentText"/>
              <w:spacing w:before="180"/>
              <w:jc w:val="right"/>
              <w:rPr>
                <w:rFonts w:cs="Arial"/>
                <w:b/>
                <w:i/>
              </w:rPr>
            </w:pPr>
            <w:r w:rsidRPr="002F0657">
              <w:rPr>
                <w:rFonts w:cs="Arial"/>
                <w:b/>
                <w:i/>
              </w:rPr>
              <w:t>Step 4</w:t>
            </w:r>
          </w:p>
        </w:tc>
        <w:tc>
          <w:tcPr>
            <w:tcW w:w="8730" w:type="dxa"/>
            <w:tcBorders>
              <w:top w:val="nil"/>
              <w:left w:val="nil"/>
              <w:bottom w:val="nil"/>
              <w:right w:val="nil"/>
            </w:tcBorders>
            <w:tcMar>
              <w:left w:w="115" w:type="dxa"/>
              <w:right w:w="115" w:type="dxa"/>
            </w:tcMar>
          </w:tcPr>
          <w:p w:rsidR="00CB6BC7" w:rsidRPr="002F0657" w:rsidRDefault="00CB6BC7" w:rsidP="00D53140">
            <w:pPr>
              <w:pStyle w:val="Body"/>
            </w:pPr>
            <w:r w:rsidRPr="002F0657">
              <w:t>The auditor validates the sample frame data files and notifies the health plan of the results. If needed, the health plan makes corrections to the sample frame until it achieves the desired audit result.</w:t>
            </w:r>
          </w:p>
        </w:tc>
      </w:tr>
      <w:tr w:rsidR="00CB6BC7" w:rsidRPr="002F0657" w:rsidTr="003C7BFE">
        <w:tc>
          <w:tcPr>
            <w:tcW w:w="1105" w:type="dxa"/>
            <w:tcBorders>
              <w:top w:val="nil"/>
              <w:left w:val="nil"/>
              <w:bottom w:val="nil"/>
              <w:right w:val="nil"/>
            </w:tcBorders>
            <w:tcMar>
              <w:left w:w="115" w:type="dxa"/>
              <w:right w:w="115" w:type="dxa"/>
            </w:tcMar>
          </w:tcPr>
          <w:p w:rsidR="00CB6BC7" w:rsidRPr="002F0657" w:rsidRDefault="00CB6BC7" w:rsidP="00D53140">
            <w:pPr>
              <w:pStyle w:val="CommentText"/>
              <w:spacing w:before="180"/>
              <w:jc w:val="right"/>
              <w:rPr>
                <w:rFonts w:cs="Arial"/>
                <w:b/>
                <w:i/>
              </w:rPr>
            </w:pPr>
            <w:r w:rsidRPr="002F0657">
              <w:rPr>
                <w:rFonts w:cs="Arial"/>
                <w:b/>
                <w:i/>
              </w:rPr>
              <w:t>Step 5</w:t>
            </w:r>
          </w:p>
        </w:tc>
        <w:tc>
          <w:tcPr>
            <w:tcW w:w="8730"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auditor enters the result of the sample frame validation into the HOQ. </w:t>
            </w:r>
          </w:p>
        </w:tc>
      </w:tr>
      <w:tr w:rsidR="00CB6BC7" w:rsidRPr="002F0657" w:rsidTr="003C7BFE">
        <w:tc>
          <w:tcPr>
            <w:tcW w:w="1105" w:type="dxa"/>
            <w:tcBorders>
              <w:top w:val="nil"/>
              <w:left w:val="nil"/>
              <w:bottom w:val="nil"/>
              <w:right w:val="nil"/>
            </w:tcBorders>
            <w:tcMar>
              <w:left w:w="115" w:type="dxa"/>
              <w:right w:w="115" w:type="dxa"/>
            </w:tcMar>
          </w:tcPr>
          <w:p w:rsidR="00CB6BC7" w:rsidRPr="002F0657" w:rsidRDefault="00CB6BC7" w:rsidP="003C6EC2">
            <w:pPr>
              <w:pStyle w:val="CommentText"/>
              <w:spacing w:before="180"/>
              <w:jc w:val="right"/>
              <w:rPr>
                <w:rFonts w:cs="Arial"/>
                <w:b/>
                <w:i/>
              </w:rPr>
            </w:pPr>
            <w:r w:rsidRPr="002F0657">
              <w:rPr>
                <w:rFonts w:cs="Arial"/>
                <w:b/>
                <w:i/>
              </w:rPr>
              <w:t xml:space="preserve">Step </w:t>
            </w:r>
            <w:r w:rsidR="003C6EC2" w:rsidRPr="002F0657">
              <w:rPr>
                <w:rFonts w:cs="Arial"/>
                <w:b/>
                <w:i/>
              </w:rPr>
              <w:t>6</w:t>
            </w:r>
          </w:p>
        </w:tc>
        <w:tc>
          <w:tcPr>
            <w:tcW w:w="8730" w:type="dxa"/>
            <w:tcBorders>
              <w:top w:val="nil"/>
              <w:left w:val="nil"/>
              <w:bottom w:val="nil"/>
              <w:right w:val="nil"/>
            </w:tcBorders>
            <w:tcMar>
              <w:left w:w="115" w:type="dxa"/>
              <w:right w:w="115" w:type="dxa"/>
            </w:tcMar>
          </w:tcPr>
          <w:p w:rsidR="00CB6BC7" w:rsidRPr="002F0657" w:rsidRDefault="00CB6BC7" w:rsidP="00D53140">
            <w:pPr>
              <w:pStyle w:val="Body"/>
            </w:pPr>
            <w:r w:rsidRPr="002F0657">
              <w:t>The health plan forwards the sample frame data files and documentation of sample frame validation results to the NCQA Certified HEDIS Survey Vendor.</w:t>
            </w:r>
          </w:p>
        </w:tc>
      </w:tr>
      <w:tr w:rsidR="00CB6BC7" w:rsidRPr="002F0657" w:rsidTr="003C7BFE">
        <w:tc>
          <w:tcPr>
            <w:tcW w:w="1105" w:type="dxa"/>
            <w:tcBorders>
              <w:top w:val="nil"/>
              <w:left w:val="nil"/>
              <w:bottom w:val="nil"/>
              <w:right w:val="nil"/>
            </w:tcBorders>
            <w:tcMar>
              <w:left w:w="115" w:type="dxa"/>
              <w:right w:w="115" w:type="dxa"/>
            </w:tcMar>
          </w:tcPr>
          <w:p w:rsidR="00CB6BC7" w:rsidRPr="002F0657" w:rsidRDefault="00CB6BC7" w:rsidP="003C6EC2">
            <w:pPr>
              <w:pStyle w:val="CommentText"/>
              <w:spacing w:before="180"/>
              <w:jc w:val="right"/>
              <w:rPr>
                <w:rFonts w:cs="Arial"/>
                <w:b/>
                <w:i/>
              </w:rPr>
            </w:pPr>
            <w:r w:rsidRPr="002F0657">
              <w:rPr>
                <w:rFonts w:cs="Arial"/>
                <w:b/>
                <w:i/>
              </w:rPr>
              <w:t xml:space="preserve">Step </w:t>
            </w:r>
            <w:r w:rsidR="003C6EC2" w:rsidRPr="002F0657">
              <w:rPr>
                <w:rFonts w:cs="Arial"/>
                <w:b/>
                <w:i/>
              </w:rPr>
              <w:t>7</w:t>
            </w:r>
          </w:p>
        </w:tc>
        <w:tc>
          <w:tcPr>
            <w:tcW w:w="8730"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survey vendor administers the CAHPS survey according to HEDIS specifications. </w:t>
            </w:r>
          </w:p>
        </w:tc>
      </w:tr>
    </w:tbl>
    <w:p w:rsidR="00CB6BC7" w:rsidRPr="002F0657" w:rsidRDefault="00CB6BC7" w:rsidP="00CB6BC7">
      <w:pPr>
        <w:pStyle w:val="StdHead"/>
        <w:rPr>
          <w:color w:val="auto"/>
        </w:rPr>
      </w:pPr>
      <w:r w:rsidRPr="002F0657">
        <w:rPr>
          <w:color w:val="auto"/>
        </w:rPr>
        <w:t>Sampling Protocol</w:t>
      </w:r>
    </w:p>
    <w:p w:rsidR="00CB6BC7" w:rsidRPr="002F0657" w:rsidRDefault="00CB6BC7" w:rsidP="00CB6BC7">
      <w:pPr>
        <w:pStyle w:val="Body"/>
      </w:pPr>
      <w:r w:rsidRPr="002F0657">
        <w:t xml:space="preserve">Prior to sampling, the survey vendor confirms with the health plan that an NCQA Certified HEDIS Compliance Auditor has verified the integrity of the sample frame. </w:t>
      </w:r>
    </w:p>
    <w:p w:rsidR="00CB6BC7" w:rsidRPr="002F0657" w:rsidRDefault="00CB6BC7" w:rsidP="00CB6BC7">
      <w:pPr>
        <w:pStyle w:val="Body"/>
      </w:pPr>
      <w:r w:rsidRPr="002F0657">
        <w:t>For each HEDIS/CAHPS survey administered, the survey vendor draws a random sample of members, employing the required sample size as indicated in Table S-3. In a health plan with fewer eligible members than the required sample size, the sample includes the health plan’s entire eligible population.</w:t>
      </w:r>
    </w:p>
    <w:p w:rsidR="00CB6BC7" w:rsidRPr="002F0657" w:rsidRDefault="00CB6BC7" w:rsidP="00CB6BC7">
      <w:pPr>
        <w:pStyle w:val="Heading3"/>
      </w:pPr>
      <w:r w:rsidRPr="002F0657">
        <w:t>Table S-3: Survey Sample Sizes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150"/>
        <w:gridCol w:w="2700"/>
      </w:tblGrid>
      <w:tr w:rsidR="00CB6BC7" w:rsidRPr="002F0657" w:rsidTr="00D53140">
        <w:tc>
          <w:tcPr>
            <w:tcW w:w="3150" w:type="dxa"/>
            <w:tcBorders>
              <w:right w:val="nil"/>
            </w:tcBorders>
            <w:shd w:val="clear" w:color="auto" w:fill="000000"/>
          </w:tcPr>
          <w:p w:rsidR="00CB6BC7" w:rsidRPr="002F0657" w:rsidRDefault="00CB6BC7" w:rsidP="00D53140">
            <w:pPr>
              <w:pStyle w:val="TableHead"/>
              <w:rPr>
                <w:color w:val="auto"/>
              </w:rPr>
            </w:pPr>
            <w:r w:rsidRPr="002F0657">
              <w:rPr>
                <w:color w:val="auto"/>
              </w:rPr>
              <w:t>Survey Type</w:t>
            </w:r>
          </w:p>
        </w:tc>
        <w:tc>
          <w:tcPr>
            <w:tcW w:w="2700" w:type="dxa"/>
            <w:tcBorders>
              <w:left w:val="single" w:sz="6" w:space="0" w:color="FFFFFF"/>
            </w:tcBorders>
            <w:shd w:val="clear" w:color="auto" w:fill="000000"/>
          </w:tcPr>
          <w:p w:rsidR="00CB6BC7" w:rsidRPr="002F0657" w:rsidRDefault="00CB6BC7" w:rsidP="00D53140">
            <w:pPr>
              <w:pStyle w:val="TableHead"/>
              <w:rPr>
                <w:color w:val="auto"/>
              </w:rPr>
            </w:pPr>
            <w:r w:rsidRPr="002F0657">
              <w:rPr>
                <w:color w:val="auto"/>
              </w:rPr>
              <w:t>Required Sample Size</w:t>
            </w:r>
          </w:p>
        </w:tc>
      </w:tr>
      <w:tr w:rsidR="00CB6BC7" w:rsidRPr="002F0657" w:rsidTr="00D53140">
        <w:tc>
          <w:tcPr>
            <w:tcW w:w="3150" w:type="dxa"/>
          </w:tcPr>
          <w:p w:rsidR="00CB6BC7" w:rsidRPr="002F0657" w:rsidRDefault="00CB6BC7" w:rsidP="00D53140">
            <w:pPr>
              <w:pStyle w:val="TableText"/>
              <w:ind w:firstLine="882"/>
            </w:pPr>
            <w:r w:rsidRPr="002F0657">
              <w:t xml:space="preserve">Adult </w:t>
            </w:r>
            <w:r w:rsidR="00FE5571" w:rsidRPr="002F0657">
              <w:t>Commercial</w:t>
            </w:r>
          </w:p>
        </w:tc>
        <w:tc>
          <w:tcPr>
            <w:tcW w:w="2700" w:type="dxa"/>
          </w:tcPr>
          <w:p w:rsidR="00CB6BC7" w:rsidRPr="002F0657" w:rsidRDefault="00CB6BC7" w:rsidP="00D53140">
            <w:pPr>
              <w:pStyle w:val="TableText"/>
              <w:ind w:right="972"/>
              <w:jc w:val="right"/>
            </w:pPr>
            <w:r w:rsidRPr="002F0657">
              <w:t>1,100</w:t>
            </w:r>
          </w:p>
        </w:tc>
      </w:tr>
      <w:tr w:rsidR="00CB6BC7" w:rsidRPr="002F0657" w:rsidTr="00D53140">
        <w:tc>
          <w:tcPr>
            <w:tcW w:w="3150" w:type="dxa"/>
            <w:shd w:val="clear" w:color="auto" w:fill="E0E0E0"/>
          </w:tcPr>
          <w:p w:rsidR="00CB6BC7" w:rsidRPr="002F0657" w:rsidRDefault="00FE5571" w:rsidP="00D53140">
            <w:pPr>
              <w:pStyle w:val="TableText"/>
              <w:ind w:firstLine="882"/>
            </w:pPr>
            <w:r w:rsidRPr="002F0657">
              <w:t>Adult Medicaid</w:t>
            </w:r>
          </w:p>
        </w:tc>
        <w:tc>
          <w:tcPr>
            <w:tcW w:w="2700" w:type="dxa"/>
            <w:shd w:val="clear" w:color="auto" w:fill="E0E0E0"/>
          </w:tcPr>
          <w:p w:rsidR="00CB6BC7" w:rsidRPr="002F0657" w:rsidRDefault="00CB6BC7" w:rsidP="00D53140">
            <w:pPr>
              <w:pStyle w:val="TableText"/>
              <w:ind w:right="972"/>
              <w:jc w:val="right"/>
            </w:pPr>
            <w:r w:rsidRPr="002F0657">
              <w:t>1,350</w:t>
            </w:r>
          </w:p>
        </w:tc>
      </w:tr>
      <w:tr w:rsidR="00CB6BC7" w:rsidRPr="002F0657" w:rsidTr="00D53140">
        <w:tc>
          <w:tcPr>
            <w:tcW w:w="3150" w:type="dxa"/>
          </w:tcPr>
          <w:p w:rsidR="00CB6BC7" w:rsidRPr="002F0657" w:rsidRDefault="00CB6BC7" w:rsidP="00D53140">
            <w:pPr>
              <w:pStyle w:val="TableText"/>
              <w:ind w:firstLine="882"/>
            </w:pPr>
            <w:r w:rsidRPr="002F0657">
              <w:t xml:space="preserve">Child </w:t>
            </w:r>
            <w:r w:rsidR="00FE5571" w:rsidRPr="002F0657">
              <w:t>Commercial</w:t>
            </w:r>
          </w:p>
        </w:tc>
        <w:tc>
          <w:tcPr>
            <w:tcW w:w="2700" w:type="dxa"/>
          </w:tcPr>
          <w:p w:rsidR="00CB6BC7" w:rsidRPr="002F0657" w:rsidRDefault="00CB6BC7" w:rsidP="00D53140">
            <w:pPr>
              <w:pStyle w:val="TableText"/>
              <w:ind w:right="972"/>
              <w:jc w:val="right"/>
            </w:pPr>
            <w:r w:rsidRPr="002F0657">
              <w:t>900</w:t>
            </w:r>
          </w:p>
        </w:tc>
      </w:tr>
      <w:tr w:rsidR="00CB6BC7" w:rsidRPr="002F0657" w:rsidTr="00D53140">
        <w:tc>
          <w:tcPr>
            <w:tcW w:w="3150" w:type="dxa"/>
            <w:shd w:val="clear" w:color="auto" w:fill="E0E0E0"/>
          </w:tcPr>
          <w:p w:rsidR="00CB6BC7" w:rsidRPr="002F0657" w:rsidRDefault="00FE5571" w:rsidP="00D53140">
            <w:pPr>
              <w:pStyle w:val="TableText"/>
              <w:ind w:firstLine="882"/>
            </w:pPr>
            <w:r w:rsidRPr="002F0657">
              <w:t>Child Medicaid</w:t>
            </w:r>
          </w:p>
        </w:tc>
        <w:tc>
          <w:tcPr>
            <w:tcW w:w="2700" w:type="dxa"/>
            <w:shd w:val="clear" w:color="auto" w:fill="E0E0E0"/>
          </w:tcPr>
          <w:p w:rsidR="00CB6BC7" w:rsidRPr="002F0657" w:rsidRDefault="00CB6BC7" w:rsidP="00D53140">
            <w:pPr>
              <w:pStyle w:val="TableText"/>
              <w:ind w:right="972"/>
              <w:jc w:val="right"/>
            </w:pPr>
            <w:r w:rsidRPr="002F0657">
              <w:t>1,650</w:t>
            </w:r>
          </w:p>
        </w:tc>
      </w:tr>
    </w:tbl>
    <w:p w:rsidR="00CB6BC7" w:rsidRPr="002F0657" w:rsidRDefault="00CB6BC7" w:rsidP="00CB6BC7"/>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80"/>
        <w:gridCol w:w="7920"/>
      </w:tblGrid>
      <w:tr w:rsidR="00CB6BC7" w:rsidRPr="002F0657" w:rsidTr="00D53140">
        <w:tc>
          <w:tcPr>
            <w:tcW w:w="1980"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Deduplication</w:t>
            </w:r>
          </w:p>
        </w:tc>
        <w:tc>
          <w:tcPr>
            <w:tcW w:w="7920"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To reduce respondent burden, the survey vendor deduplicates samples so that only one adult member per household is included in the adult sample and only one child member per household is included in the child sample. The survey vendor selects the adult sample first and then deduplicates the population, using the subscriber ID number, so that no children of the selected adult households are in the child survey sample. If the health plan does not use a subscriber ID, the sample is deduplicated by address. </w:t>
            </w:r>
          </w:p>
          <w:p w:rsidR="00CB6BC7" w:rsidRPr="002F0657" w:rsidRDefault="00CB6BC7" w:rsidP="003C7BFE">
            <w:pPr>
              <w:pStyle w:val="Body"/>
            </w:pPr>
            <w:r w:rsidRPr="002F0657">
              <w:t>If a HEDIS survey is being collected and reported more than once for a given sample frame (e.g., if a state is sponsoring a survey for a health plan and the health plan is also conducting its own survey), survey vendors may collaborate to deduplicate samples.</w:t>
            </w:r>
          </w:p>
        </w:tc>
      </w:tr>
    </w:tbl>
    <w:p w:rsidR="00CB6BC7" w:rsidRPr="002F0657" w:rsidRDefault="00CB6BC7" w:rsidP="00CB6BC7">
      <w:pPr>
        <w:sectPr w:rsidR="00CB6BC7" w:rsidRPr="002F0657" w:rsidSect="003C7BFE">
          <w:pgSz w:w="12240" w:h="15840" w:code="1"/>
          <w:pgMar w:top="1080" w:right="1080" w:bottom="1080" w:left="1440" w:header="720" w:footer="720" w:gutter="0"/>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5"/>
        <w:gridCol w:w="1800"/>
        <w:gridCol w:w="8075"/>
      </w:tblGrid>
      <w:tr w:rsidR="00CB6BC7" w:rsidRPr="002F0657" w:rsidTr="00D53140">
        <w:tc>
          <w:tcPr>
            <w:tcW w:w="1825" w:type="dxa"/>
            <w:gridSpan w:val="2"/>
            <w:tcBorders>
              <w:top w:val="nil"/>
              <w:left w:val="nil"/>
              <w:bottom w:val="nil"/>
              <w:right w:val="nil"/>
            </w:tcBorders>
            <w:tcMar>
              <w:left w:w="115" w:type="dxa"/>
              <w:right w:w="115" w:type="dxa"/>
            </w:tcMar>
          </w:tcPr>
          <w:p w:rsidR="00CB6BC7" w:rsidRPr="002F0657" w:rsidRDefault="00CB6BC7" w:rsidP="00D53140">
            <w:pPr>
              <w:pStyle w:val="MarginSubhead"/>
            </w:pPr>
          </w:p>
        </w:tc>
        <w:tc>
          <w:tcPr>
            <w:tcW w:w="8075" w:type="dxa"/>
            <w:tcBorders>
              <w:top w:val="nil"/>
              <w:left w:val="nil"/>
              <w:bottom w:val="nil"/>
              <w:right w:val="nil"/>
            </w:tcBorders>
            <w:tcMar>
              <w:left w:w="115" w:type="dxa"/>
              <w:right w:w="115" w:type="dxa"/>
            </w:tcMar>
          </w:tcPr>
          <w:p w:rsidR="00CB6BC7" w:rsidRPr="002F0657" w:rsidRDefault="00CB6BC7" w:rsidP="00D53140">
            <w:pPr>
              <w:pStyle w:val="Body"/>
              <w:spacing w:before="0"/>
            </w:pPr>
            <w:r w:rsidRPr="002F0657">
              <w:t>With the health plan’s approval:</w:t>
            </w:r>
          </w:p>
          <w:p w:rsidR="00CB6BC7" w:rsidRPr="002F0657" w:rsidRDefault="00CB6BC7" w:rsidP="00D53140">
            <w:pPr>
              <w:pStyle w:val="Bullet"/>
            </w:pPr>
            <w:r w:rsidRPr="002F0657">
              <w:t>One survey vendor may draw two deduplicated random samples and provide another survey vendor with one sample.</w:t>
            </w:r>
          </w:p>
          <w:p w:rsidR="00CB6BC7" w:rsidRPr="002F0657" w:rsidRDefault="00CB6BC7" w:rsidP="00D53140">
            <w:pPr>
              <w:pStyle w:val="Bullet"/>
            </w:pPr>
            <w:r w:rsidRPr="002F0657">
              <w:t>One survey vendor may share the list of sampled members with another survey vendor. The second survey vendor excludes these members (as well as all members of the household) from the sample frame prior to drawing the second random sample.</w:t>
            </w:r>
          </w:p>
        </w:tc>
      </w:tr>
      <w:tr w:rsidR="00CB6BC7" w:rsidRPr="002F0657" w:rsidTr="00D53140">
        <w:tc>
          <w:tcPr>
            <w:tcW w:w="1825" w:type="dxa"/>
            <w:gridSpan w:val="2"/>
            <w:tcBorders>
              <w:top w:val="nil"/>
              <w:left w:val="nil"/>
              <w:bottom w:val="nil"/>
              <w:right w:val="nil"/>
            </w:tcBorders>
            <w:tcMar>
              <w:left w:w="115" w:type="dxa"/>
              <w:right w:w="115" w:type="dxa"/>
            </w:tcMar>
          </w:tcPr>
          <w:p w:rsidR="00CB6BC7" w:rsidRPr="002F0657" w:rsidRDefault="00CB6BC7" w:rsidP="00D53140">
            <w:pPr>
              <w:pStyle w:val="MarginSubhead"/>
            </w:pPr>
            <w:r w:rsidRPr="002F0657">
              <w:t>Small numbers</w:t>
            </w:r>
          </w:p>
        </w:tc>
        <w:tc>
          <w:tcPr>
            <w:tcW w:w="8075"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A health plan with very small numbers of eligible members (where denominators of less than 100 are expected) should contact NCQA to determine specific HEDIS survey reporting requirements. The health plan can submit concerns through the NCQA PCS system at </w:t>
            </w:r>
            <w:r w:rsidRPr="002F0657">
              <w:rPr>
                <w:rStyle w:val="Hyperlink"/>
                <w:color w:val="auto"/>
              </w:rPr>
              <w:t>www.ncqa.org/pcs</w:t>
            </w:r>
            <w:r w:rsidRPr="002F0657">
              <w:t xml:space="preserve"> or fax to the attention of Policy at 202-955-3599.</w:t>
            </w:r>
          </w:p>
        </w:tc>
      </w:tr>
      <w:tr w:rsidR="00CB6BC7" w:rsidRPr="002F0657" w:rsidTr="00D53140">
        <w:tc>
          <w:tcPr>
            <w:tcW w:w="1825" w:type="dxa"/>
            <w:gridSpan w:val="2"/>
            <w:tcBorders>
              <w:top w:val="nil"/>
              <w:left w:val="nil"/>
              <w:bottom w:val="nil"/>
              <w:right w:val="nil"/>
            </w:tcBorders>
            <w:tcMar>
              <w:left w:w="115" w:type="dxa"/>
              <w:right w:w="115" w:type="dxa"/>
            </w:tcMar>
          </w:tcPr>
          <w:p w:rsidR="00CB6BC7" w:rsidRPr="002F0657" w:rsidRDefault="00CB6BC7" w:rsidP="00D53140">
            <w:pPr>
              <w:pStyle w:val="MarginSubhead"/>
            </w:pPr>
            <w:r w:rsidRPr="002F0657">
              <w:t>Oversampling</w:t>
            </w:r>
          </w:p>
        </w:tc>
        <w:tc>
          <w:tcPr>
            <w:tcW w:w="8075"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A health plan must oversample if it cannot eliminate </w:t>
            </w:r>
            <w:r w:rsidR="00D42364" w:rsidRPr="002F0657">
              <w:t>disenrolled members</w:t>
            </w:r>
            <w:r w:rsidRPr="002F0657">
              <w:t xml:space="preserve"> from membership files; correct addresses and, when appropriate, telephone numbers; and provide updated, accurate sample frames to the survey vendor by the required date. For example, a health plan that receives December membership updates from purchasers in January may need additional time to enter updates into its membership files. Similarly, a health plan that does not receive December membership updates from purchasers until late February may be unable to update membership files before generating the sample frame. </w:t>
            </w:r>
          </w:p>
          <w:p w:rsidR="00CB6BC7" w:rsidRPr="002F0657" w:rsidRDefault="00CB6BC7" w:rsidP="00D53140">
            <w:pPr>
              <w:pStyle w:val="Body"/>
            </w:pPr>
            <w:r w:rsidRPr="002F0657">
              <w:t>Health plans must oversample enough to guarantee that sufficient eligible members are surveyed to meet the required sample size. A health plan that oversamples due to anticipated disenrollment arranges for the survey vendor to complete steps 1–7 of the oversampling process, below.</w:t>
            </w:r>
          </w:p>
          <w:p w:rsidR="00CB6BC7" w:rsidRPr="002F0657" w:rsidRDefault="00CB6BC7" w:rsidP="00D53140">
            <w:pPr>
              <w:pStyle w:val="Body"/>
            </w:pPr>
            <w:r w:rsidRPr="002F0657">
              <w:t xml:space="preserve">Health plans may also oversample to obtain a greater number of completed surveys at the end of the survey administration. For example, the health plan may oversample if it has a prior history of low survey response rates; if it anticipates that a significant number of the telephone numbers in the membership files are inaccurate; or, if after reviewing the information in </w:t>
            </w:r>
            <w:r w:rsidRPr="002F0657">
              <w:rPr>
                <w:i/>
              </w:rPr>
              <w:t>Appendix 7: General Recommendations for Oversampling for Survey Measures,</w:t>
            </w:r>
            <w:r w:rsidRPr="002F0657">
              <w:t xml:space="preserve"> it does not expect to achieve a denominator of 100 for most survey calculations. If the health plan oversamples for these reasons, the survey vendor adheres to the oversampling process below but </w:t>
            </w:r>
            <w:r w:rsidRPr="002F0657">
              <w:rPr>
                <w:i/>
              </w:rPr>
              <w:t>does not</w:t>
            </w:r>
            <w:r w:rsidRPr="002F0657">
              <w:t xml:space="preserve"> perform step 1 or steps 4–6.</w:t>
            </w:r>
          </w:p>
        </w:tc>
      </w:tr>
      <w:tr w:rsidR="00CB6BC7" w:rsidRPr="002F0657" w:rsidTr="00D53140">
        <w:trPr>
          <w:gridBefore w:val="1"/>
          <w:wBefore w:w="25" w:type="dxa"/>
        </w:trPr>
        <w:tc>
          <w:tcPr>
            <w:tcW w:w="1800"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Oversampling rates</w:t>
            </w:r>
          </w:p>
        </w:tc>
        <w:tc>
          <w:tcPr>
            <w:tcW w:w="8075"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Health plans may oversample using rates in increments of 5 percent (e.g., 5, 10, 15). Final sample sizes (FSS) for oversampling rates of 5 percent–30 percent are provided in Table S-4. The survey vendor calculates the final sample size for oversampling rates greater than 30 percent using the following formula. </w:t>
            </w:r>
          </w:p>
          <w:p w:rsidR="00CB6BC7" w:rsidRPr="002F0657" w:rsidRDefault="00CB6BC7" w:rsidP="00D53140">
            <w:pPr>
              <w:pStyle w:val="Body"/>
              <w:spacing w:before="120"/>
              <w:jc w:val="center"/>
            </w:pPr>
            <w:r w:rsidRPr="002F0657">
              <w:t>FSS = Required Sample Size (RSS) x Oversampling Rate (round up)</w:t>
            </w:r>
          </w:p>
        </w:tc>
      </w:tr>
      <w:tr w:rsidR="00CB6BC7" w:rsidRPr="002F0657" w:rsidTr="00D53140">
        <w:trPr>
          <w:gridBefore w:val="1"/>
          <w:wBefore w:w="25" w:type="dxa"/>
        </w:trPr>
        <w:tc>
          <w:tcPr>
            <w:tcW w:w="1800" w:type="dxa"/>
            <w:tcBorders>
              <w:top w:val="nil"/>
              <w:left w:val="nil"/>
              <w:bottom w:val="nil"/>
              <w:right w:val="nil"/>
            </w:tcBorders>
            <w:tcMar>
              <w:left w:w="115" w:type="dxa"/>
              <w:right w:w="115" w:type="dxa"/>
            </w:tcMar>
          </w:tcPr>
          <w:p w:rsidR="00CB6BC7" w:rsidRPr="002F0657" w:rsidRDefault="00CB6BC7" w:rsidP="00EA666E">
            <w:pPr>
              <w:pStyle w:val="MarginSubhead"/>
              <w:spacing w:before="120"/>
            </w:pPr>
            <w:r w:rsidRPr="002F0657">
              <w:t>Oversampling process</w:t>
            </w:r>
          </w:p>
        </w:tc>
        <w:tc>
          <w:tcPr>
            <w:tcW w:w="8075" w:type="dxa"/>
            <w:tcBorders>
              <w:top w:val="nil"/>
              <w:left w:val="nil"/>
              <w:bottom w:val="nil"/>
              <w:right w:val="nil"/>
            </w:tcBorders>
            <w:tcMar>
              <w:left w:w="115" w:type="dxa"/>
              <w:right w:w="115" w:type="dxa"/>
            </w:tcMar>
          </w:tcPr>
          <w:p w:rsidR="00CB6BC7" w:rsidRPr="002F0657" w:rsidRDefault="00CB6BC7" w:rsidP="00EA666E">
            <w:pPr>
              <w:pStyle w:val="Body"/>
              <w:spacing w:before="120"/>
            </w:pPr>
          </w:p>
        </w:tc>
      </w:tr>
      <w:tr w:rsidR="00CB6BC7" w:rsidRPr="002F0657" w:rsidTr="00D53140">
        <w:trPr>
          <w:gridBefore w:val="1"/>
          <w:wBefore w:w="25" w:type="dxa"/>
        </w:trPr>
        <w:tc>
          <w:tcPr>
            <w:tcW w:w="1800" w:type="dxa"/>
            <w:tcBorders>
              <w:top w:val="nil"/>
              <w:left w:val="nil"/>
              <w:bottom w:val="nil"/>
              <w:right w:val="nil"/>
            </w:tcBorders>
            <w:tcMar>
              <w:left w:w="115" w:type="dxa"/>
              <w:right w:w="115" w:type="dxa"/>
            </w:tcMar>
          </w:tcPr>
          <w:p w:rsidR="00CB6BC7" w:rsidRPr="002F0657" w:rsidRDefault="00CB6BC7" w:rsidP="00F97A33">
            <w:pPr>
              <w:pStyle w:val="MarginSubhead"/>
              <w:spacing w:before="120"/>
              <w:jc w:val="right"/>
              <w:rPr>
                <w:i/>
              </w:rPr>
            </w:pPr>
            <w:r w:rsidRPr="002F0657">
              <w:rPr>
                <w:i/>
              </w:rPr>
              <w:t>Step 1</w:t>
            </w:r>
          </w:p>
        </w:tc>
        <w:tc>
          <w:tcPr>
            <w:tcW w:w="8075" w:type="dxa"/>
            <w:tcBorders>
              <w:top w:val="nil"/>
              <w:left w:val="nil"/>
              <w:bottom w:val="nil"/>
              <w:right w:val="nil"/>
            </w:tcBorders>
            <w:tcMar>
              <w:left w:w="115" w:type="dxa"/>
              <w:right w:w="115" w:type="dxa"/>
            </w:tcMar>
          </w:tcPr>
          <w:p w:rsidR="00CB6BC7" w:rsidRPr="002F0657" w:rsidRDefault="00CB6BC7" w:rsidP="00F97A33">
            <w:pPr>
              <w:pStyle w:val="Body"/>
              <w:spacing w:before="120"/>
            </w:pPr>
            <w:r w:rsidRPr="002F0657">
              <w:t>The health plan provides the survey vendor with the validated sample frame before eliminating disenrolled members, and estimates the percentage of anticipated disenrolled members. Based on the estimated percentage of disenrolled members, the health plan and the survey vendor determine the oversampling rate necessary to obtain the RSS of currently enrolled members.</w:t>
            </w:r>
          </w:p>
        </w:tc>
      </w:tr>
      <w:tr w:rsidR="00CB6BC7" w:rsidRPr="002F0657" w:rsidTr="00D53140">
        <w:trPr>
          <w:gridBefore w:val="1"/>
          <w:wBefore w:w="25" w:type="dxa"/>
        </w:trPr>
        <w:tc>
          <w:tcPr>
            <w:tcW w:w="1800" w:type="dxa"/>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2</w:t>
            </w:r>
          </w:p>
        </w:tc>
        <w:tc>
          <w:tcPr>
            <w:tcW w:w="8075" w:type="dxa"/>
            <w:tcBorders>
              <w:top w:val="nil"/>
              <w:left w:val="nil"/>
              <w:bottom w:val="nil"/>
              <w:right w:val="nil"/>
            </w:tcBorders>
            <w:tcMar>
              <w:left w:w="115" w:type="dxa"/>
              <w:right w:w="115" w:type="dxa"/>
            </w:tcMar>
          </w:tcPr>
          <w:p w:rsidR="00CB6BC7" w:rsidRPr="002F0657" w:rsidRDefault="00CB6BC7" w:rsidP="00D53140">
            <w:pPr>
              <w:pStyle w:val="Body"/>
            </w:pPr>
            <w:r w:rsidRPr="002F0657">
              <w:t>The survey vendor selects the FSS from Table S-4 using the predetermined oversampling rate and based on the following formula.</w:t>
            </w:r>
          </w:p>
          <w:p w:rsidR="00CB6BC7" w:rsidRPr="002F0657" w:rsidRDefault="00CB6BC7" w:rsidP="00D53140">
            <w:pPr>
              <w:pStyle w:val="Body"/>
              <w:spacing w:before="120"/>
              <w:jc w:val="center"/>
            </w:pPr>
            <w:r w:rsidRPr="002F0657">
              <w:t xml:space="preserve">FSS = RSS + (RSS </w:t>
            </w:r>
            <w:r w:rsidRPr="002F0657">
              <w:sym w:font="Symbol" w:char="F0B4"/>
            </w:r>
            <w:r w:rsidRPr="002F0657">
              <w:t xml:space="preserve"> oversampling rate), round up to the next whole number</w:t>
            </w:r>
          </w:p>
        </w:tc>
      </w:tr>
    </w:tbl>
    <w:p w:rsidR="00CB6BC7" w:rsidRPr="002F0657" w:rsidRDefault="00CB6BC7" w:rsidP="00CB6BC7">
      <w:pPr>
        <w:pStyle w:val="Heading3"/>
      </w:pPr>
      <w:r w:rsidRPr="002F0657">
        <w:t>Table S-4: Oversampling Rates and Final Sample Sizes</w:t>
      </w:r>
    </w:p>
    <w:tbl>
      <w:tblPr>
        <w:tblW w:w="0" w:type="auto"/>
        <w:tblInd w:w="18" w:type="dxa"/>
        <w:tblBorders>
          <w:top w:val="single" w:sz="8" w:space="0" w:color="auto"/>
          <w:bottom w:val="single" w:sz="8" w:space="0" w:color="auto"/>
          <w:insideH w:val="single" w:sz="8" w:space="0" w:color="auto"/>
        </w:tblBorders>
        <w:tblLayout w:type="fixed"/>
        <w:tblLook w:val="0000"/>
      </w:tblPr>
      <w:tblGrid>
        <w:gridCol w:w="90"/>
        <w:gridCol w:w="1170"/>
        <w:gridCol w:w="1890"/>
        <w:gridCol w:w="1620"/>
        <w:gridCol w:w="840"/>
        <w:gridCol w:w="840"/>
        <w:gridCol w:w="840"/>
        <w:gridCol w:w="840"/>
        <w:gridCol w:w="840"/>
        <w:gridCol w:w="840"/>
      </w:tblGrid>
      <w:tr w:rsidR="00CB6BC7" w:rsidRPr="002F0657" w:rsidTr="00D53140">
        <w:trPr>
          <w:gridBefore w:val="1"/>
          <w:wBefore w:w="90" w:type="dxa"/>
          <w:cantSplit/>
        </w:trPr>
        <w:tc>
          <w:tcPr>
            <w:tcW w:w="3060" w:type="dxa"/>
            <w:gridSpan w:val="2"/>
            <w:vMerge w:val="restart"/>
            <w:tcBorders>
              <w:left w:val="single" w:sz="4" w:space="0" w:color="auto"/>
              <w:right w:val="single" w:sz="6" w:space="0" w:color="FFFFFF"/>
            </w:tcBorders>
            <w:shd w:val="clear" w:color="auto" w:fill="000000"/>
            <w:vAlign w:val="bottom"/>
          </w:tcPr>
          <w:p w:rsidR="00CB6BC7" w:rsidRPr="002F0657" w:rsidRDefault="00CB6BC7" w:rsidP="00D53140">
            <w:pPr>
              <w:pStyle w:val="TableHead"/>
              <w:rPr>
                <w:color w:val="auto"/>
              </w:rPr>
            </w:pPr>
            <w:r w:rsidRPr="002F0657">
              <w:rPr>
                <w:color w:val="auto"/>
              </w:rPr>
              <w:t>Survey Type</w:t>
            </w:r>
          </w:p>
        </w:tc>
        <w:tc>
          <w:tcPr>
            <w:tcW w:w="1620" w:type="dxa"/>
            <w:vMerge w:val="restart"/>
            <w:tcBorders>
              <w:left w:val="single" w:sz="6" w:space="0" w:color="FFFFFF"/>
              <w:right w:val="single" w:sz="6" w:space="0" w:color="FFFFFF"/>
            </w:tcBorders>
            <w:shd w:val="clear" w:color="auto" w:fill="000000"/>
            <w:vAlign w:val="bottom"/>
          </w:tcPr>
          <w:p w:rsidR="00CB6BC7" w:rsidRPr="002F0657" w:rsidRDefault="00CB6BC7" w:rsidP="00D53140">
            <w:pPr>
              <w:pStyle w:val="TableHead"/>
              <w:rPr>
                <w:color w:val="auto"/>
              </w:rPr>
            </w:pPr>
            <w:r w:rsidRPr="002F0657">
              <w:rPr>
                <w:color w:val="auto"/>
              </w:rPr>
              <w:t>RSS</w:t>
            </w:r>
          </w:p>
        </w:tc>
        <w:tc>
          <w:tcPr>
            <w:tcW w:w="5040" w:type="dxa"/>
            <w:gridSpan w:val="6"/>
            <w:tcBorders>
              <w:left w:val="single" w:sz="6" w:space="0" w:color="FFFFFF"/>
              <w:bottom w:val="single" w:sz="6" w:space="0" w:color="FFFFFF"/>
              <w:right w:val="single" w:sz="4" w:space="0" w:color="auto"/>
            </w:tcBorders>
            <w:shd w:val="clear" w:color="auto" w:fill="000000"/>
            <w:vAlign w:val="bottom"/>
          </w:tcPr>
          <w:p w:rsidR="00CB6BC7" w:rsidRPr="002F0657" w:rsidRDefault="00CB6BC7" w:rsidP="00D53140">
            <w:pPr>
              <w:pStyle w:val="TableHead"/>
              <w:rPr>
                <w:color w:val="auto"/>
              </w:rPr>
            </w:pPr>
            <w:r w:rsidRPr="002F0657">
              <w:rPr>
                <w:color w:val="auto"/>
              </w:rPr>
              <w:t>Oversampling Rate and FSS</w:t>
            </w:r>
          </w:p>
        </w:tc>
      </w:tr>
      <w:tr w:rsidR="00CB6BC7" w:rsidRPr="002F0657" w:rsidTr="00D53140">
        <w:trPr>
          <w:gridBefore w:val="1"/>
          <w:wBefore w:w="90" w:type="dxa"/>
          <w:cantSplit/>
        </w:trPr>
        <w:tc>
          <w:tcPr>
            <w:tcW w:w="3060" w:type="dxa"/>
            <w:gridSpan w:val="2"/>
            <w:vMerge/>
            <w:tcBorders>
              <w:left w:val="single" w:sz="4" w:space="0" w:color="auto"/>
              <w:bottom w:val="nil"/>
              <w:right w:val="single" w:sz="6" w:space="0" w:color="FFFFFF"/>
            </w:tcBorders>
            <w:shd w:val="clear" w:color="auto" w:fill="000000"/>
            <w:vAlign w:val="bottom"/>
          </w:tcPr>
          <w:p w:rsidR="00CB6BC7" w:rsidRPr="002F0657" w:rsidRDefault="00CB6BC7" w:rsidP="00D53140">
            <w:pPr>
              <w:pStyle w:val="TableHead"/>
              <w:rPr>
                <w:color w:val="auto"/>
              </w:rPr>
            </w:pPr>
          </w:p>
        </w:tc>
        <w:tc>
          <w:tcPr>
            <w:tcW w:w="1620" w:type="dxa"/>
            <w:vMerge/>
            <w:tcBorders>
              <w:left w:val="single" w:sz="6" w:space="0" w:color="FFFFFF"/>
              <w:bottom w:val="nil"/>
              <w:right w:val="single" w:sz="6" w:space="0" w:color="FFFFFF"/>
            </w:tcBorders>
            <w:vAlign w:val="bottom"/>
          </w:tcPr>
          <w:p w:rsidR="00CB6BC7" w:rsidRPr="002F0657" w:rsidRDefault="00CB6BC7" w:rsidP="00D53140">
            <w:pPr>
              <w:pStyle w:val="TableHead"/>
              <w:rPr>
                <w:color w:val="auto"/>
              </w:rPr>
            </w:pPr>
          </w:p>
        </w:tc>
        <w:tc>
          <w:tcPr>
            <w:tcW w:w="840" w:type="dxa"/>
            <w:tcBorders>
              <w:top w:val="nil"/>
              <w:left w:val="single" w:sz="6" w:space="0" w:color="FFFFFF"/>
              <w:bottom w:val="nil"/>
              <w:right w:val="nil"/>
            </w:tcBorders>
            <w:shd w:val="clear" w:color="auto" w:fill="000000"/>
            <w:vAlign w:val="bottom"/>
          </w:tcPr>
          <w:p w:rsidR="00CB6BC7" w:rsidRPr="002F0657" w:rsidRDefault="00CB6BC7" w:rsidP="00D53140">
            <w:pPr>
              <w:pStyle w:val="TableHead"/>
              <w:rPr>
                <w:color w:val="auto"/>
              </w:rPr>
            </w:pPr>
            <w:r w:rsidRPr="002F0657">
              <w:rPr>
                <w:color w:val="auto"/>
              </w:rPr>
              <w:t>5%</w:t>
            </w:r>
          </w:p>
        </w:tc>
        <w:tc>
          <w:tcPr>
            <w:tcW w:w="840" w:type="dxa"/>
            <w:tcBorders>
              <w:top w:val="nil"/>
              <w:left w:val="single" w:sz="6" w:space="0" w:color="FFFFFF"/>
              <w:bottom w:val="nil"/>
              <w:right w:val="nil"/>
            </w:tcBorders>
            <w:shd w:val="clear" w:color="auto" w:fill="000000"/>
            <w:vAlign w:val="bottom"/>
          </w:tcPr>
          <w:p w:rsidR="00CB6BC7" w:rsidRPr="002F0657" w:rsidRDefault="00CB6BC7" w:rsidP="00D53140">
            <w:pPr>
              <w:pStyle w:val="TableHead"/>
              <w:rPr>
                <w:color w:val="auto"/>
              </w:rPr>
            </w:pPr>
            <w:r w:rsidRPr="002F0657">
              <w:rPr>
                <w:color w:val="auto"/>
              </w:rPr>
              <w:t>10%</w:t>
            </w:r>
          </w:p>
        </w:tc>
        <w:tc>
          <w:tcPr>
            <w:tcW w:w="840" w:type="dxa"/>
            <w:tcBorders>
              <w:top w:val="nil"/>
              <w:left w:val="single" w:sz="6" w:space="0" w:color="FFFFFF"/>
              <w:bottom w:val="nil"/>
              <w:right w:val="nil"/>
            </w:tcBorders>
            <w:shd w:val="clear" w:color="auto" w:fill="000000"/>
            <w:vAlign w:val="bottom"/>
          </w:tcPr>
          <w:p w:rsidR="00CB6BC7" w:rsidRPr="002F0657" w:rsidRDefault="00CB6BC7" w:rsidP="00D53140">
            <w:pPr>
              <w:pStyle w:val="TableHead"/>
              <w:rPr>
                <w:color w:val="auto"/>
              </w:rPr>
            </w:pPr>
            <w:r w:rsidRPr="002F0657">
              <w:rPr>
                <w:color w:val="auto"/>
              </w:rPr>
              <w:t>15%</w:t>
            </w:r>
          </w:p>
        </w:tc>
        <w:tc>
          <w:tcPr>
            <w:tcW w:w="840" w:type="dxa"/>
            <w:tcBorders>
              <w:top w:val="nil"/>
              <w:left w:val="single" w:sz="6" w:space="0" w:color="FFFFFF"/>
              <w:bottom w:val="nil"/>
              <w:right w:val="nil"/>
            </w:tcBorders>
            <w:shd w:val="clear" w:color="auto" w:fill="000000"/>
            <w:vAlign w:val="bottom"/>
          </w:tcPr>
          <w:p w:rsidR="00CB6BC7" w:rsidRPr="002F0657" w:rsidRDefault="00CB6BC7" w:rsidP="00D53140">
            <w:pPr>
              <w:pStyle w:val="TableHead"/>
              <w:rPr>
                <w:color w:val="auto"/>
              </w:rPr>
            </w:pPr>
            <w:r w:rsidRPr="002F0657">
              <w:rPr>
                <w:color w:val="auto"/>
              </w:rPr>
              <w:t>20%</w:t>
            </w:r>
          </w:p>
        </w:tc>
        <w:tc>
          <w:tcPr>
            <w:tcW w:w="840" w:type="dxa"/>
            <w:tcBorders>
              <w:top w:val="nil"/>
              <w:left w:val="single" w:sz="6" w:space="0" w:color="FFFFFF"/>
              <w:bottom w:val="nil"/>
              <w:right w:val="nil"/>
            </w:tcBorders>
            <w:shd w:val="clear" w:color="auto" w:fill="000000"/>
            <w:vAlign w:val="bottom"/>
          </w:tcPr>
          <w:p w:rsidR="00CB6BC7" w:rsidRPr="002F0657" w:rsidRDefault="00CB6BC7" w:rsidP="00D53140">
            <w:pPr>
              <w:pStyle w:val="TableHead"/>
              <w:rPr>
                <w:color w:val="auto"/>
              </w:rPr>
            </w:pPr>
            <w:r w:rsidRPr="002F0657">
              <w:rPr>
                <w:color w:val="auto"/>
              </w:rPr>
              <w:t>25%</w:t>
            </w:r>
          </w:p>
        </w:tc>
        <w:tc>
          <w:tcPr>
            <w:tcW w:w="840" w:type="dxa"/>
            <w:tcBorders>
              <w:top w:val="nil"/>
              <w:left w:val="single" w:sz="6" w:space="0" w:color="FFFFFF"/>
              <w:bottom w:val="nil"/>
              <w:right w:val="single" w:sz="4" w:space="0" w:color="auto"/>
            </w:tcBorders>
            <w:shd w:val="clear" w:color="auto" w:fill="000000"/>
            <w:vAlign w:val="bottom"/>
          </w:tcPr>
          <w:p w:rsidR="00CB6BC7" w:rsidRPr="002F0657" w:rsidRDefault="00CB6BC7" w:rsidP="00D53140">
            <w:pPr>
              <w:pStyle w:val="TableHead"/>
              <w:rPr>
                <w:color w:val="auto"/>
              </w:rPr>
            </w:pPr>
            <w:r w:rsidRPr="002F0657">
              <w:rPr>
                <w:color w:val="auto"/>
              </w:rPr>
              <w:t>30%</w:t>
            </w:r>
          </w:p>
        </w:tc>
      </w:tr>
      <w:tr w:rsidR="00CB6BC7" w:rsidRPr="002F0657" w:rsidTr="00D53140">
        <w:trPr>
          <w:gridBefore w:val="1"/>
          <w:wBefore w:w="90" w:type="dxa"/>
          <w:cantSplit/>
        </w:trPr>
        <w:tc>
          <w:tcPr>
            <w:tcW w:w="3060" w:type="dxa"/>
            <w:gridSpan w:val="2"/>
            <w:tcBorders>
              <w:top w:val="single" w:sz="6" w:space="0" w:color="auto"/>
              <w:left w:val="single" w:sz="6" w:space="0" w:color="auto"/>
              <w:bottom w:val="single" w:sz="6" w:space="0" w:color="auto"/>
              <w:right w:val="single" w:sz="6" w:space="0" w:color="auto"/>
            </w:tcBorders>
          </w:tcPr>
          <w:p w:rsidR="00CB6BC7" w:rsidRPr="002F0657" w:rsidRDefault="00CB6BC7" w:rsidP="00D53140">
            <w:pPr>
              <w:pStyle w:val="TableText"/>
              <w:ind w:right="331" w:firstLine="882"/>
            </w:pPr>
            <w:r w:rsidRPr="002F0657">
              <w:t>Adult Commercial</w:t>
            </w:r>
          </w:p>
        </w:tc>
        <w:tc>
          <w:tcPr>
            <w:tcW w:w="162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tabs>
                <w:tab w:val="decimal" w:pos="342"/>
              </w:tabs>
              <w:ind w:right="-18"/>
              <w:jc w:val="center"/>
            </w:pPr>
            <w:r w:rsidRPr="002F0657">
              <w:t>1,100</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tabs>
                <w:tab w:val="decimal" w:pos="522"/>
              </w:tabs>
            </w:pPr>
            <w:r w:rsidRPr="002F0657">
              <w:t>1,155</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tabs>
                <w:tab w:val="decimal" w:pos="492"/>
              </w:tabs>
            </w:pPr>
            <w:r w:rsidRPr="002F0657">
              <w:t>1,210</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jc w:val="center"/>
            </w:pPr>
            <w:r w:rsidRPr="002F0657">
              <w:t>1,265</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jc w:val="center"/>
            </w:pPr>
            <w:r w:rsidRPr="002F0657">
              <w:t>1,320</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jc w:val="center"/>
            </w:pPr>
            <w:r w:rsidRPr="002F0657">
              <w:t>1,375</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jc w:val="center"/>
            </w:pPr>
            <w:r w:rsidRPr="002F0657">
              <w:t>1,430</w:t>
            </w:r>
          </w:p>
        </w:tc>
      </w:tr>
      <w:tr w:rsidR="00CB6BC7" w:rsidRPr="002F0657" w:rsidTr="00D53140">
        <w:trPr>
          <w:gridBefore w:val="1"/>
          <w:wBefore w:w="90" w:type="dxa"/>
          <w:cantSplit/>
        </w:trPr>
        <w:tc>
          <w:tcPr>
            <w:tcW w:w="3060" w:type="dxa"/>
            <w:gridSpan w:val="2"/>
            <w:tcBorders>
              <w:top w:val="single" w:sz="6" w:space="0" w:color="auto"/>
              <w:left w:val="single" w:sz="6" w:space="0" w:color="auto"/>
              <w:bottom w:val="single" w:sz="6" w:space="0" w:color="auto"/>
              <w:right w:val="single" w:sz="6" w:space="0" w:color="auto"/>
            </w:tcBorders>
            <w:shd w:val="clear" w:color="auto" w:fill="E0E0E0"/>
          </w:tcPr>
          <w:p w:rsidR="00CB6BC7" w:rsidRPr="002F0657" w:rsidRDefault="00CB6BC7" w:rsidP="00D53140">
            <w:pPr>
              <w:pStyle w:val="TableText"/>
              <w:ind w:right="331" w:firstLine="882"/>
            </w:pPr>
            <w:r w:rsidRPr="002F0657">
              <w:t>Adult Medicaid</w:t>
            </w:r>
          </w:p>
        </w:tc>
        <w:tc>
          <w:tcPr>
            <w:tcW w:w="162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tabs>
                <w:tab w:val="decimal" w:pos="342"/>
              </w:tabs>
              <w:ind w:right="-18"/>
              <w:jc w:val="center"/>
            </w:pPr>
            <w:r w:rsidRPr="002F0657">
              <w:t>1,350</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tabs>
                <w:tab w:val="decimal" w:pos="522"/>
              </w:tabs>
            </w:pPr>
            <w:r w:rsidRPr="002F0657">
              <w:t>1,418</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tabs>
                <w:tab w:val="decimal" w:pos="492"/>
              </w:tabs>
            </w:pPr>
            <w:r w:rsidRPr="002F0657">
              <w:t>1,485</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jc w:val="center"/>
            </w:pPr>
            <w:r w:rsidRPr="002F0657">
              <w:t>1,553</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jc w:val="center"/>
            </w:pPr>
            <w:r w:rsidRPr="002F0657">
              <w:t>1,620</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jc w:val="center"/>
            </w:pPr>
            <w:r w:rsidRPr="002F0657">
              <w:t>1,688</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jc w:val="center"/>
            </w:pPr>
            <w:r w:rsidRPr="002F0657">
              <w:t>1,755</w:t>
            </w:r>
          </w:p>
        </w:tc>
      </w:tr>
      <w:tr w:rsidR="00CB6BC7" w:rsidRPr="002F0657" w:rsidTr="00D53140">
        <w:trPr>
          <w:gridBefore w:val="1"/>
          <w:wBefore w:w="90" w:type="dxa"/>
          <w:cantSplit/>
        </w:trPr>
        <w:tc>
          <w:tcPr>
            <w:tcW w:w="3060" w:type="dxa"/>
            <w:gridSpan w:val="2"/>
            <w:tcBorders>
              <w:top w:val="single" w:sz="6" w:space="0" w:color="auto"/>
              <w:left w:val="single" w:sz="6" w:space="0" w:color="auto"/>
              <w:bottom w:val="single" w:sz="6" w:space="0" w:color="auto"/>
              <w:right w:val="single" w:sz="6" w:space="0" w:color="auto"/>
            </w:tcBorders>
          </w:tcPr>
          <w:p w:rsidR="00CB6BC7" w:rsidRPr="002F0657" w:rsidRDefault="00CB6BC7" w:rsidP="00D53140">
            <w:pPr>
              <w:pStyle w:val="TableText"/>
              <w:ind w:right="331" w:firstLine="882"/>
            </w:pPr>
            <w:r w:rsidRPr="002F0657">
              <w:t>Child Commercial</w:t>
            </w:r>
          </w:p>
        </w:tc>
        <w:tc>
          <w:tcPr>
            <w:tcW w:w="162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tabs>
                <w:tab w:val="decimal" w:pos="342"/>
              </w:tabs>
              <w:ind w:right="-18"/>
              <w:jc w:val="center"/>
            </w:pPr>
            <w:r w:rsidRPr="002F0657">
              <w:t>900</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tabs>
                <w:tab w:val="decimal" w:pos="522"/>
              </w:tabs>
            </w:pPr>
            <w:r w:rsidRPr="002F0657">
              <w:t>945</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tabs>
                <w:tab w:val="decimal" w:pos="492"/>
              </w:tabs>
            </w:pPr>
            <w:r w:rsidRPr="002F0657">
              <w:t>990</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jc w:val="center"/>
            </w:pPr>
            <w:r w:rsidRPr="002F0657">
              <w:t>1,035</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jc w:val="center"/>
            </w:pPr>
            <w:r w:rsidRPr="002F0657">
              <w:t>1,080</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jc w:val="center"/>
            </w:pPr>
            <w:r w:rsidRPr="002F0657">
              <w:t>1,125</w:t>
            </w:r>
          </w:p>
        </w:tc>
        <w:tc>
          <w:tcPr>
            <w:tcW w:w="840" w:type="dxa"/>
            <w:tcBorders>
              <w:top w:val="single" w:sz="6" w:space="0" w:color="auto"/>
              <w:left w:val="single" w:sz="6" w:space="0" w:color="auto"/>
              <w:bottom w:val="single" w:sz="6" w:space="0" w:color="auto"/>
              <w:right w:val="single" w:sz="6" w:space="0" w:color="auto"/>
            </w:tcBorders>
            <w:vAlign w:val="center"/>
          </w:tcPr>
          <w:p w:rsidR="00CB6BC7" w:rsidRPr="002F0657" w:rsidRDefault="00CB6BC7" w:rsidP="00D53140">
            <w:pPr>
              <w:pStyle w:val="TableText"/>
              <w:jc w:val="center"/>
            </w:pPr>
            <w:r w:rsidRPr="002F0657">
              <w:t>1,170</w:t>
            </w:r>
          </w:p>
        </w:tc>
      </w:tr>
      <w:tr w:rsidR="00CB6BC7" w:rsidRPr="002F0657" w:rsidTr="00D53140">
        <w:trPr>
          <w:gridBefore w:val="1"/>
          <w:wBefore w:w="90" w:type="dxa"/>
          <w:cantSplit/>
        </w:trPr>
        <w:tc>
          <w:tcPr>
            <w:tcW w:w="3060" w:type="dxa"/>
            <w:gridSpan w:val="2"/>
            <w:tcBorders>
              <w:top w:val="single" w:sz="6" w:space="0" w:color="auto"/>
              <w:left w:val="single" w:sz="6" w:space="0" w:color="auto"/>
              <w:bottom w:val="single" w:sz="6" w:space="0" w:color="auto"/>
              <w:right w:val="single" w:sz="6" w:space="0" w:color="auto"/>
            </w:tcBorders>
            <w:shd w:val="clear" w:color="auto" w:fill="E0E0E0"/>
          </w:tcPr>
          <w:p w:rsidR="00CB6BC7" w:rsidRPr="002F0657" w:rsidRDefault="00CB6BC7" w:rsidP="00D53140">
            <w:pPr>
              <w:pStyle w:val="TableText"/>
              <w:ind w:right="331" w:firstLine="882"/>
            </w:pPr>
            <w:r w:rsidRPr="002F0657">
              <w:t>Child Medicaid</w:t>
            </w:r>
          </w:p>
        </w:tc>
        <w:tc>
          <w:tcPr>
            <w:tcW w:w="162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tabs>
                <w:tab w:val="decimal" w:pos="342"/>
              </w:tabs>
              <w:ind w:right="-18"/>
              <w:jc w:val="center"/>
            </w:pPr>
            <w:r w:rsidRPr="002F0657">
              <w:t>1,650</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tabs>
                <w:tab w:val="decimal" w:pos="522"/>
              </w:tabs>
            </w:pPr>
            <w:r w:rsidRPr="002F0657">
              <w:t>1,733</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tabs>
                <w:tab w:val="decimal" w:pos="492"/>
              </w:tabs>
            </w:pPr>
            <w:r w:rsidRPr="002F0657">
              <w:t>1,815</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jc w:val="center"/>
            </w:pPr>
            <w:r w:rsidRPr="002F0657">
              <w:t>1,898</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jc w:val="center"/>
            </w:pPr>
            <w:r w:rsidRPr="002F0657">
              <w:t>1,980</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jc w:val="center"/>
            </w:pPr>
            <w:r w:rsidRPr="002F0657">
              <w:t>2,063</w:t>
            </w:r>
          </w:p>
        </w:tc>
        <w:tc>
          <w:tcPr>
            <w:tcW w:w="840" w:type="dxa"/>
            <w:tcBorders>
              <w:top w:val="single" w:sz="6" w:space="0" w:color="auto"/>
              <w:left w:val="single" w:sz="6" w:space="0" w:color="auto"/>
              <w:bottom w:val="single" w:sz="6" w:space="0" w:color="auto"/>
              <w:right w:val="single" w:sz="6" w:space="0" w:color="auto"/>
            </w:tcBorders>
            <w:shd w:val="clear" w:color="auto" w:fill="E0E0E0"/>
            <w:vAlign w:val="center"/>
          </w:tcPr>
          <w:p w:rsidR="00CB6BC7" w:rsidRPr="002F0657" w:rsidRDefault="00CB6BC7" w:rsidP="00D53140">
            <w:pPr>
              <w:pStyle w:val="TableText"/>
              <w:jc w:val="center"/>
            </w:pPr>
            <w:r w:rsidRPr="002F0657">
              <w:t>2,145</w:t>
            </w:r>
          </w:p>
        </w:tc>
      </w:tr>
      <w:tr w:rsidR="00CB6BC7" w:rsidRPr="002F0657" w:rsidTr="00D5314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c>
          <w:tcPr>
            <w:tcW w:w="1260" w:type="dxa"/>
            <w:gridSpan w:val="2"/>
            <w:tcBorders>
              <w:top w:val="nil"/>
              <w:left w:val="nil"/>
              <w:bottom w:val="nil"/>
              <w:right w:val="nil"/>
            </w:tcBorders>
            <w:tcMar>
              <w:left w:w="115" w:type="dxa"/>
              <w:right w:w="115" w:type="dxa"/>
            </w:tcMar>
          </w:tcPr>
          <w:p w:rsidR="00CB6BC7" w:rsidRPr="002F0657" w:rsidRDefault="00CB6BC7" w:rsidP="00D53140">
            <w:pPr>
              <w:pStyle w:val="MarginSubhead"/>
              <w:spacing w:before="240"/>
              <w:jc w:val="right"/>
              <w:rPr>
                <w:i/>
              </w:rPr>
            </w:pPr>
            <w:r w:rsidRPr="002F0657">
              <w:rPr>
                <w:i/>
              </w:rPr>
              <w:t>Step 3</w:t>
            </w:r>
          </w:p>
        </w:tc>
        <w:tc>
          <w:tcPr>
            <w:tcW w:w="8550" w:type="dxa"/>
            <w:gridSpan w:val="8"/>
            <w:tcBorders>
              <w:top w:val="nil"/>
              <w:left w:val="nil"/>
              <w:bottom w:val="nil"/>
              <w:right w:val="nil"/>
            </w:tcBorders>
            <w:tcMar>
              <w:left w:w="115" w:type="dxa"/>
              <w:right w:w="115" w:type="dxa"/>
            </w:tcMar>
          </w:tcPr>
          <w:p w:rsidR="00CB6BC7" w:rsidRPr="002F0657" w:rsidRDefault="00CB6BC7" w:rsidP="00D53140">
            <w:pPr>
              <w:pStyle w:val="Body"/>
              <w:spacing w:before="240"/>
            </w:pPr>
            <w:r w:rsidRPr="002F0657">
              <w:t>The survey vendor randomly samples the FSS and administers the survey to all members of the FSS, in accordance with the HEDIS protocol.</w:t>
            </w:r>
          </w:p>
        </w:tc>
      </w:tr>
      <w:tr w:rsidR="00CB6BC7" w:rsidRPr="002F0657" w:rsidTr="00D5314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c>
          <w:tcPr>
            <w:tcW w:w="1260" w:type="dxa"/>
            <w:gridSpan w:val="2"/>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4</w:t>
            </w:r>
          </w:p>
        </w:tc>
        <w:tc>
          <w:tcPr>
            <w:tcW w:w="8550" w:type="dxa"/>
            <w:gridSpan w:val="8"/>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survey vendor and health plan select one of the following options, which allows the health plan to provide the vendor with updated membership information while protecting member confidentiality and minimizing the burden on the health plan and the vendor. For all of the options, and when appropriate, the health plan returns the updated membership information to the survey vendor </w:t>
            </w:r>
            <w:r w:rsidRPr="002F0657">
              <w:rPr>
                <w:i/>
              </w:rPr>
              <w:t>before</w:t>
            </w:r>
            <w:r w:rsidRPr="002F0657">
              <w:t xml:space="preserve"> the telephone phase of the protocol so the vendor can update sampled members’ telephone numbers before telephone interviewing.</w:t>
            </w:r>
          </w:p>
        </w:tc>
      </w:tr>
      <w:tr w:rsidR="00CB6BC7" w:rsidRPr="002F0657" w:rsidTr="00D5314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c>
          <w:tcPr>
            <w:tcW w:w="1260" w:type="dxa"/>
            <w:gridSpan w:val="2"/>
            <w:tcBorders>
              <w:top w:val="nil"/>
              <w:left w:val="nil"/>
              <w:bottom w:val="nil"/>
              <w:right w:val="nil"/>
            </w:tcBorders>
            <w:tcMar>
              <w:left w:w="115" w:type="dxa"/>
              <w:right w:w="115" w:type="dxa"/>
            </w:tcMar>
          </w:tcPr>
          <w:p w:rsidR="00CB6BC7" w:rsidRPr="002F0657" w:rsidRDefault="00CB6BC7" w:rsidP="00D53140">
            <w:pPr>
              <w:pStyle w:val="MarginSubhead"/>
              <w:jc w:val="right"/>
              <w:rPr>
                <w:u w:val="single"/>
              </w:rPr>
            </w:pPr>
            <w:r w:rsidRPr="002F0657">
              <w:rPr>
                <w:u w:val="single"/>
              </w:rPr>
              <w:t>Option 1</w:t>
            </w:r>
          </w:p>
        </w:tc>
        <w:tc>
          <w:tcPr>
            <w:tcW w:w="8550" w:type="dxa"/>
            <w:gridSpan w:val="8"/>
            <w:tcBorders>
              <w:top w:val="nil"/>
              <w:left w:val="nil"/>
              <w:bottom w:val="nil"/>
              <w:right w:val="nil"/>
            </w:tcBorders>
            <w:tcMar>
              <w:left w:w="115" w:type="dxa"/>
              <w:right w:w="115" w:type="dxa"/>
            </w:tcMar>
          </w:tcPr>
          <w:p w:rsidR="00CB6BC7" w:rsidRPr="002F0657" w:rsidRDefault="00CB6BC7" w:rsidP="00D53140">
            <w:pPr>
              <w:pStyle w:val="Body"/>
            </w:pPr>
            <w:r w:rsidRPr="002F0657">
              <w:t>After the survey vendor draws the FSS, it creates a reduced membership file three times the FSS. Members selected for the FSS constitute one-third of the reduced membership file; the remaining two-thirds of the file consists of nonsampled health plan members. This blinds the health plan to the sampled members and protects member confidentiality. The survey vendor forwards the reduced membership file to the health plan.</w:t>
            </w:r>
          </w:p>
          <w:p w:rsidR="00CB6BC7" w:rsidRPr="002F0657" w:rsidRDefault="00CB6BC7" w:rsidP="00D53140">
            <w:pPr>
              <w:pStyle w:val="Body"/>
            </w:pPr>
            <w:r w:rsidRPr="002F0657">
              <w:t>The health plan updates the reduced membership file with disenrolled members, the dates of disenrollment and, when appropriate, members with updated telephone numbers and the new number, and forwards the updated reduced membership file to the survey vendor.</w:t>
            </w:r>
          </w:p>
        </w:tc>
      </w:tr>
      <w:tr w:rsidR="00CB6BC7" w:rsidRPr="002F0657" w:rsidTr="00D5314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c>
          <w:tcPr>
            <w:tcW w:w="1260" w:type="dxa"/>
            <w:gridSpan w:val="2"/>
            <w:tcBorders>
              <w:top w:val="nil"/>
              <w:left w:val="nil"/>
              <w:bottom w:val="nil"/>
              <w:right w:val="nil"/>
            </w:tcBorders>
            <w:tcMar>
              <w:left w:w="115" w:type="dxa"/>
              <w:right w:w="115" w:type="dxa"/>
            </w:tcMar>
          </w:tcPr>
          <w:p w:rsidR="00CB6BC7" w:rsidRPr="002F0657" w:rsidRDefault="00CB6BC7" w:rsidP="00D53140">
            <w:pPr>
              <w:pStyle w:val="MarginSubhead"/>
              <w:jc w:val="right"/>
              <w:rPr>
                <w:u w:val="single"/>
              </w:rPr>
            </w:pPr>
            <w:r w:rsidRPr="002F0657">
              <w:rPr>
                <w:u w:val="single"/>
              </w:rPr>
              <w:t>Option 2</w:t>
            </w:r>
          </w:p>
        </w:tc>
        <w:tc>
          <w:tcPr>
            <w:tcW w:w="8550" w:type="dxa"/>
            <w:gridSpan w:val="8"/>
            <w:tcBorders>
              <w:top w:val="nil"/>
              <w:left w:val="nil"/>
              <w:bottom w:val="nil"/>
              <w:right w:val="nil"/>
            </w:tcBorders>
            <w:tcMar>
              <w:left w:w="115" w:type="dxa"/>
              <w:right w:w="115" w:type="dxa"/>
            </w:tcMar>
          </w:tcPr>
          <w:p w:rsidR="00CB6BC7" w:rsidRPr="002F0657" w:rsidRDefault="00CB6BC7" w:rsidP="00D53140">
            <w:pPr>
              <w:pStyle w:val="Body"/>
            </w:pPr>
            <w:r w:rsidRPr="002F0657">
              <w:t>The health plan starts with the original sample frame and updates the file with disenrolled members, the dates of disenrollment and, when appropriate, members with updated telephone numbers and the new number, and forwards the updated sample frame to the survey vendor.</w:t>
            </w:r>
          </w:p>
        </w:tc>
      </w:tr>
      <w:tr w:rsidR="00CB6BC7" w:rsidRPr="002F0657" w:rsidTr="00D5314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c>
          <w:tcPr>
            <w:tcW w:w="1260" w:type="dxa"/>
            <w:gridSpan w:val="2"/>
            <w:tcBorders>
              <w:top w:val="nil"/>
              <w:left w:val="nil"/>
              <w:bottom w:val="nil"/>
              <w:right w:val="nil"/>
            </w:tcBorders>
            <w:tcMar>
              <w:left w:w="115" w:type="dxa"/>
              <w:right w:w="115" w:type="dxa"/>
            </w:tcMar>
          </w:tcPr>
          <w:p w:rsidR="00CB6BC7" w:rsidRPr="002F0657" w:rsidRDefault="00CB6BC7" w:rsidP="00D53140">
            <w:pPr>
              <w:pStyle w:val="MarginSubhead"/>
              <w:jc w:val="right"/>
              <w:rPr>
                <w:u w:val="single"/>
              </w:rPr>
            </w:pPr>
            <w:r w:rsidRPr="002F0657">
              <w:rPr>
                <w:u w:val="single"/>
              </w:rPr>
              <w:t>Option 3</w:t>
            </w:r>
          </w:p>
        </w:tc>
        <w:tc>
          <w:tcPr>
            <w:tcW w:w="8550" w:type="dxa"/>
            <w:gridSpan w:val="8"/>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health plan generates a new file containing all disenrolled members, the dates of disenrollment and, when appropriate, members with updated phone numbers and the new number, and forwards the new file to the survey vendor. </w:t>
            </w:r>
          </w:p>
        </w:tc>
      </w:tr>
      <w:tr w:rsidR="00CB6BC7" w:rsidRPr="002F0657" w:rsidTr="00D5314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c>
          <w:tcPr>
            <w:tcW w:w="1260" w:type="dxa"/>
            <w:gridSpan w:val="2"/>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5</w:t>
            </w:r>
          </w:p>
        </w:tc>
        <w:tc>
          <w:tcPr>
            <w:tcW w:w="8550" w:type="dxa"/>
            <w:gridSpan w:val="8"/>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After receiving the updated sample frame, the survey vendor identifies disenrolled members in the FSS and assigns all disenrolled members a final disposition code of “Ineligible: Does not meet </w:t>
            </w:r>
            <w:r w:rsidRPr="002F0657">
              <w:rPr>
                <w:i/>
              </w:rPr>
              <w:t>Eligible Population</w:t>
            </w:r>
            <w:r w:rsidRPr="002F0657">
              <w:t xml:space="preserve"> criteria.” Members are considered disenrolled when their disenrollment date is on or before the date on which the survey vendor fielded the survey (the date of the first questionnaire mailing). </w:t>
            </w:r>
          </w:p>
          <w:p w:rsidR="00CB6BC7" w:rsidRPr="002F0657" w:rsidRDefault="00CB6BC7" w:rsidP="00D53140">
            <w:pPr>
              <w:pStyle w:val="Body"/>
            </w:pPr>
            <w:r w:rsidRPr="002F0657">
              <w:t>For example, if the survey vendor fields a survey on February 20, members who disenrolled on or before February 20 are considered disenrolled. Members who disenrolled on or after February 21 are not considered disenrolled.</w:t>
            </w:r>
          </w:p>
        </w:tc>
      </w:tr>
      <w:tr w:rsidR="00CB6BC7" w:rsidRPr="002F0657" w:rsidTr="00D5314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c>
          <w:tcPr>
            <w:tcW w:w="1260" w:type="dxa"/>
            <w:gridSpan w:val="2"/>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6</w:t>
            </w:r>
          </w:p>
        </w:tc>
        <w:tc>
          <w:tcPr>
            <w:tcW w:w="8550" w:type="dxa"/>
            <w:gridSpan w:val="8"/>
            <w:tcBorders>
              <w:top w:val="nil"/>
              <w:left w:val="nil"/>
              <w:bottom w:val="nil"/>
              <w:right w:val="nil"/>
            </w:tcBorders>
            <w:tcMar>
              <w:left w:w="115" w:type="dxa"/>
              <w:right w:w="115" w:type="dxa"/>
            </w:tcMar>
          </w:tcPr>
          <w:p w:rsidR="00CB6BC7" w:rsidRPr="002F0657" w:rsidRDefault="00CB6BC7" w:rsidP="00D53140">
            <w:pPr>
              <w:pStyle w:val="Body"/>
            </w:pPr>
            <w:r w:rsidRPr="002F0657">
              <w:t>The survey vendor continues to administer the survey to all remaining eligible members in</w:t>
            </w:r>
            <w:r w:rsidRPr="002F0657">
              <w:br/>
              <w:t>the FSS.</w:t>
            </w:r>
          </w:p>
        </w:tc>
      </w:tr>
      <w:tr w:rsidR="00CB6BC7" w:rsidRPr="002F0657" w:rsidTr="00D5314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c>
          <w:tcPr>
            <w:tcW w:w="1260" w:type="dxa"/>
            <w:gridSpan w:val="2"/>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7</w:t>
            </w:r>
          </w:p>
        </w:tc>
        <w:tc>
          <w:tcPr>
            <w:tcW w:w="8550" w:type="dxa"/>
            <w:gridSpan w:val="8"/>
            <w:tcBorders>
              <w:top w:val="nil"/>
              <w:left w:val="nil"/>
              <w:bottom w:val="nil"/>
              <w:right w:val="nil"/>
            </w:tcBorders>
            <w:tcMar>
              <w:left w:w="115" w:type="dxa"/>
              <w:right w:w="115" w:type="dxa"/>
            </w:tcMar>
          </w:tcPr>
          <w:p w:rsidR="00CB6BC7" w:rsidRPr="002F0657" w:rsidRDefault="00CB6BC7" w:rsidP="00D53140">
            <w:pPr>
              <w:pStyle w:val="Body"/>
            </w:pPr>
            <w:r w:rsidRPr="002F0657">
              <w:t>The survey vendor includes all members of the FSS</w:t>
            </w:r>
            <w:r w:rsidRPr="002F0657">
              <w:rPr>
                <w:i/>
              </w:rPr>
              <w:t xml:space="preserve"> </w:t>
            </w:r>
            <w:r w:rsidRPr="002F0657">
              <w:t>in the member-level data file that it submits to NCQA for calculation of HEDIS survey results.</w:t>
            </w:r>
          </w:p>
        </w:tc>
      </w:tr>
    </w:tbl>
    <w:p w:rsidR="00CB6BC7" w:rsidRPr="002F0657" w:rsidRDefault="00CB6BC7" w:rsidP="00CB6BC7">
      <w:pPr>
        <w:sectPr w:rsidR="00CB6BC7" w:rsidRPr="002F0657" w:rsidSect="003C7BFE">
          <w:pgSz w:w="12240" w:h="15840" w:code="1"/>
          <w:pgMar w:top="1080" w:right="1080" w:bottom="1080" w:left="1440" w:header="720" w:footer="720" w:gutter="0"/>
          <w:cols w:space="720"/>
        </w:sectPr>
      </w:pPr>
    </w:p>
    <w:p w:rsidR="00CB6BC7" w:rsidRPr="002F0657" w:rsidRDefault="00CB6BC7" w:rsidP="00CB6BC7">
      <w:pPr>
        <w:pStyle w:val="StdHead"/>
        <w:spacing w:before="0"/>
        <w:rPr>
          <w:color w:val="auto"/>
        </w:rPr>
      </w:pPr>
      <w:r w:rsidRPr="002F0657">
        <w:rPr>
          <w:color w:val="auto"/>
        </w:rPr>
        <w:t>Oversampling Example</w:t>
      </w:r>
    </w:p>
    <w:p w:rsidR="00CB6BC7" w:rsidRPr="002F0657" w:rsidRDefault="00CB6BC7" w:rsidP="00CB6BC7">
      <w:pPr>
        <w:pStyle w:val="Body"/>
      </w:pPr>
      <w:r w:rsidRPr="002F0657">
        <w:t xml:space="preserve">A health plan contracts with an NCQA Certified survey vendor to collect CAHPS adult survey results for its commercial product line. The health plan cannot update the membership file with disenrolled members by the time it delivers the sample frame to the survey vendor, so it contracts with the survey vendor to oversample. </w:t>
      </w:r>
    </w:p>
    <w:tbl>
      <w:tblPr>
        <w:tblW w:w="0" w:type="auto"/>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087"/>
        <w:gridCol w:w="8813"/>
      </w:tblGrid>
      <w:tr w:rsidR="00CB6BC7" w:rsidRPr="002F0657" w:rsidTr="00C97440">
        <w:tc>
          <w:tcPr>
            <w:tcW w:w="1087" w:type="dxa"/>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1</w:t>
            </w:r>
          </w:p>
        </w:tc>
        <w:tc>
          <w:tcPr>
            <w:tcW w:w="8813"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health plan provides the sample frame to the survey vendor. Based on experience with this product line, the health plan believes that 10 percent of members in the sample frame are disenrolled. The health plan, in conjunction with the survey vendor, selects an oversampling rate of 10 percent. </w:t>
            </w:r>
          </w:p>
        </w:tc>
      </w:tr>
      <w:tr w:rsidR="00CB6BC7" w:rsidRPr="002F0657" w:rsidTr="00C97440">
        <w:tc>
          <w:tcPr>
            <w:tcW w:w="1087" w:type="dxa"/>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2</w:t>
            </w:r>
          </w:p>
        </w:tc>
        <w:tc>
          <w:tcPr>
            <w:tcW w:w="8813" w:type="dxa"/>
            <w:tcBorders>
              <w:top w:val="nil"/>
              <w:left w:val="nil"/>
              <w:bottom w:val="nil"/>
              <w:right w:val="nil"/>
            </w:tcBorders>
            <w:tcMar>
              <w:left w:w="115" w:type="dxa"/>
              <w:right w:w="115" w:type="dxa"/>
            </w:tcMar>
          </w:tcPr>
          <w:p w:rsidR="00CB6BC7" w:rsidRPr="002F0657" w:rsidRDefault="00CB6BC7" w:rsidP="00D53140">
            <w:pPr>
              <w:pStyle w:val="Body"/>
            </w:pPr>
            <w:r w:rsidRPr="002F0657">
              <w:t>The RSS is 1,100 and the oversampling rate is 10 percent. The FSS (from Table S-4) is 1,210.</w:t>
            </w:r>
          </w:p>
        </w:tc>
      </w:tr>
      <w:tr w:rsidR="00CB6BC7" w:rsidRPr="002F0657" w:rsidTr="00C97440">
        <w:tc>
          <w:tcPr>
            <w:tcW w:w="1087" w:type="dxa"/>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3</w:t>
            </w:r>
          </w:p>
        </w:tc>
        <w:tc>
          <w:tcPr>
            <w:tcW w:w="8813" w:type="dxa"/>
            <w:tcBorders>
              <w:top w:val="nil"/>
              <w:left w:val="nil"/>
              <w:bottom w:val="nil"/>
              <w:right w:val="nil"/>
            </w:tcBorders>
            <w:tcMar>
              <w:left w:w="115" w:type="dxa"/>
              <w:right w:w="115" w:type="dxa"/>
            </w:tcMar>
          </w:tcPr>
          <w:p w:rsidR="00CB6BC7" w:rsidRPr="002F0657" w:rsidRDefault="00CB6BC7" w:rsidP="00D53140">
            <w:pPr>
              <w:pStyle w:val="Body"/>
            </w:pPr>
            <w:r w:rsidRPr="002F0657">
              <w:t>The survey vendor randomly samples 1,210 members from the sample frame and administers the survey to all 1,210 members of the FSS, in accordance with the HEDIS protocols for administering the CAHPS survey.</w:t>
            </w:r>
          </w:p>
        </w:tc>
      </w:tr>
      <w:tr w:rsidR="00CB6BC7" w:rsidRPr="002F0657" w:rsidTr="00C97440">
        <w:tc>
          <w:tcPr>
            <w:tcW w:w="1087" w:type="dxa"/>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4</w:t>
            </w:r>
          </w:p>
        </w:tc>
        <w:tc>
          <w:tcPr>
            <w:tcW w:w="8813"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survey vendor returns a reduced membership file containing 3,630 (3 </w:t>
            </w:r>
            <w:r w:rsidRPr="002F0657">
              <w:sym w:font="Symbol" w:char="F0B4"/>
            </w:r>
            <w:r w:rsidRPr="002F0657">
              <w:t xml:space="preserve"> 1,210) members to the health plan. The 1,210 sampled members are embedded in the reduced membership file. The health plan indicates members in the reduced membership file who have disenrolled and returns it to the survey vendor. </w:t>
            </w:r>
          </w:p>
        </w:tc>
      </w:tr>
      <w:tr w:rsidR="00CB6BC7" w:rsidRPr="002F0657" w:rsidTr="00C97440">
        <w:tc>
          <w:tcPr>
            <w:tcW w:w="1087" w:type="dxa"/>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5</w:t>
            </w:r>
          </w:p>
        </w:tc>
        <w:tc>
          <w:tcPr>
            <w:tcW w:w="8813"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survey vendor identifies that 50 members of the FSS are disenrolled. The survey vendor assigns the 50 disenrolled members a final disposition code of “Ineligible: Does not meet Eligible Population criteria.” </w:t>
            </w:r>
          </w:p>
        </w:tc>
      </w:tr>
      <w:tr w:rsidR="00CB6BC7" w:rsidRPr="002F0657" w:rsidTr="00C97440">
        <w:tc>
          <w:tcPr>
            <w:tcW w:w="1087" w:type="dxa"/>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6</w:t>
            </w:r>
          </w:p>
        </w:tc>
        <w:tc>
          <w:tcPr>
            <w:tcW w:w="8813"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survey vendor continues with the HEDIS protocol for administering the CAHPS adult survey for the remaining 1,160 eligible members. </w:t>
            </w:r>
          </w:p>
        </w:tc>
      </w:tr>
      <w:tr w:rsidR="00CB6BC7" w:rsidRPr="002F0657" w:rsidTr="00C97440">
        <w:tc>
          <w:tcPr>
            <w:tcW w:w="1087" w:type="dxa"/>
            <w:tcBorders>
              <w:top w:val="nil"/>
              <w:left w:val="nil"/>
              <w:bottom w:val="nil"/>
              <w:right w:val="nil"/>
            </w:tcBorders>
            <w:tcMar>
              <w:left w:w="115" w:type="dxa"/>
              <w:right w:w="115" w:type="dxa"/>
            </w:tcMar>
          </w:tcPr>
          <w:p w:rsidR="00CB6BC7" w:rsidRPr="002F0657" w:rsidRDefault="00CB6BC7" w:rsidP="00D53140">
            <w:pPr>
              <w:pStyle w:val="MarginSubhead"/>
              <w:jc w:val="right"/>
              <w:rPr>
                <w:i/>
              </w:rPr>
            </w:pPr>
            <w:r w:rsidRPr="002F0657">
              <w:rPr>
                <w:i/>
              </w:rPr>
              <w:t>Step 7</w:t>
            </w:r>
          </w:p>
        </w:tc>
        <w:tc>
          <w:tcPr>
            <w:tcW w:w="8813" w:type="dxa"/>
            <w:tcBorders>
              <w:top w:val="nil"/>
              <w:left w:val="nil"/>
              <w:bottom w:val="nil"/>
              <w:right w:val="nil"/>
            </w:tcBorders>
            <w:tcMar>
              <w:left w:w="115" w:type="dxa"/>
              <w:right w:w="115" w:type="dxa"/>
            </w:tcMar>
          </w:tcPr>
          <w:p w:rsidR="00CB6BC7" w:rsidRPr="002F0657" w:rsidRDefault="00CB6BC7" w:rsidP="00D53140">
            <w:pPr>
              <w:pStyle w:val="Body"/>
            </w:pPr>
            <w:r w:rsidRPr="002F0657">
              <w:t>The member-level data file that the survey vendor submits to NCQA for calculation of survey results includes all 1,210 members of the FSS.</w:t>
            </w:r>
          </w:p>
        </w:tc>
      </w:tr>
    </w:tbl>
    <w:p w:rsidR="00CB6BC7" w:rsidRPr="002F0657" w:rsidRDefault="00CB6BC7" w:rsidP="00CB6BC7">
      <w:pPr>
        <w:pStyle w:val="StdHead"/>
        <w:rPr>
          <w:color w:val="auto"/>
        </w:rPr>
      </w:pPr>
      <w:r w:rsidRPr="002F0657">
        <w:rPr>
          <w:color w:val="auto"/>
        </w:rPr>
        <w:t>Data Collection Protocol</w:t>
      </w:r>
    </w:p>
    <w:p w:rsidR="00CB6BC7" w:rsidRPr="002F0657" w:rsidRDefault="00CB6BC7" w:rsidP="00CB6BC7">
      <w:pPr>
        <w:pStyle w:val="Body"/>
      </w:pPr>
      <w:r w:rsidRPr="002F0657">
        <w:t>The health plan and survey vendor select one of two standard options for adm</w:t>
      </w:r>
      <w:r w:rsidR="00E11409">
        <w:t>inistering HEDIS/CAHPS surveys:</w:t>
      </w:r>
    </w:p>
    <w:p w:rsidR="00893514" w:rsidRPr="002F0657" w:rsidRDefault="00893514" w:rsidP="00893514">
      <w:pPr>
        <w:pStyle w:val="Bullet"/>
        <w:numPr>
          <w:ilvl w:val="0"/>
          <w:numId w:val="0"/>
        </w:numPr>
        <w:ind w:left="648" w:hanging="288"/>
      </w:pPr>
      <w:r w:rsidRPr="002F0657">
        <w:t>1.</w:t>
      </w:r>
      <w:r w:rsidRPr="002F0657">
        <w:tab/>
      </w:r>
      <w:r w:rsidR="00CB6BC7" w:rsidRPr="002F0657">
        <w:t xml:space="preserve">The </w:t>
      </w:r>
      <w:r w:rsidR="00CB6BC7" w:rsidRPr="002F0657">
        <w:rPr>
          <w:b/>
        </w:rPr>
        <w:t xml:space="preserve">mail-only methodology, </w:t>
      </w:r>
      <w:r w:rsidR="00CB6BC7" w:rsidRPr="002F0657">
        <w:t xml:space="preserve">a </w:t>
      </w:r>
      <w:r w:rsidR="00384881">
        <w:t>five</w:t>
      </w:r>
      <w:r w:rsidR="00CB6BC7" w:rsidRPr="002F0657">
        <w:t>-wave mail protocol with three questionnaire mailings</w:t>
      </w:r>
      <w:r w:rsidR="00384881">
        <w:t xml:space="preserve"> and two reminder postcards</w:t>
      </w:r>
      <w:r w:rsidR="00E11409">
        <w:t>.</w:t>
      </w:r>
    </w:p>
    <w:p w:rsidR="00CB6BC7" w:rsidRPr="002F0657" w:rsidRDefault="00675EEC" w:rsidP="00893514">
      <w:pPr>
        <w:pStyle w:val="Bullet"/>
        <w:numPr>
          <w:ilvl w:val="0"/>
          <w:numId w:val="0"/>
        </w:numPr>
        <w:ind w:left="648" w:hanging="288"/>
      </w:pPr>
      <w:r w:rsidRPr="002F0657">
        <w:t>2.</w:t>
      </w:r>
      <w:r w:rsidR="00893514" w:rsidRPr="002F0657">
        <w:tab/>
      </w:r>
      <w:r w:rsidR="00CB6BC7" w:rsidRPr="002F0657">
        <w:t xml:space="preserve">The </w:t>
      </w:r>
      <w:r w:rsidR="00CB6BC7" w:rsidRPr="002F0657">
        <w:rPr>
          <w:b/>
        </w:rPr>
        <w:t xml:space="preserve">mixed methodology, </w:t>
      </w:r>
      <w:r w:rsidR="00CB6BC7" w:rsidRPr="002F0657">
        <w:t xml:space="preserve">a </w:t>
      </w:r>
      <w:r w:rsidR="00384881">
        <w:t>four</w:t>
      </w:r>
      <w:r w:rsidR="00CB6BC7" w:rsidRPr="002F0657">
        <w:t>-wave mail protocol (two questionnaires</w:t>
      </w:r>
      <w:r w:rsidR="00384881">
        <w:t xml:space="preserve"> and two reminder postcards</w:t>
      </w:r>
      <w:r w:rsidR="00CB6BC7" w:rsidRPr="002F0657">
        <w:t>) with telephone follow-up of at least three telephone attempts</w:t>
      </w:r>
      <w:r w:rsidR="00E11409">
        <w:t>.</w:t>
      </w:r>
    </w:p>
    <w:p w:rsidR="00CB6BC7" w:rsidRPr="002F0657" w:rsidRDefault="00CB6BC7" w:rsidP="00CB6BC7">
      <w:pPr>
        <w:pStyle w:val="Body"/>
      </w:pPr>
      <w:r w:rsidRPr="002F0657">
        <w:t>The basic tasks and time frames for the two protocol options are detailed in the following tables.</w:t>
      </w:r>
    </w:p>
    <w:p w:rsidR="00CB6BC7" w:rsidRPr="002F0657" w:rsidRDefault="00CB6BC7" w:rsidP="00CB6BC7">
      <w:pPr>
        <w:pStyle w:val="Body"/>
        <w:rPr>
          <w:bCs/>
        </w:rPr>
      </w:pPr>
      <w:r w:rsidRPr="002F0657">
        <w:t xml:space="preserve">The survey vendor is expected to maximize the final survey response rate and to pursue contacts with potential respondents until the selected data collection protocol is completed. </w:t>
      </w:r>
      <w:r w:rsidRPr="002F0657">
        <w:rPr>
          <w:bCs/>
        </w:rPr>
        <w:t>Achieving 411 completed surveys does not justify cessation of the survey protocol.</w:t>
      </w:r>
    </w:p>
    <w:p w:rsidR="00CB6BC7" w:rsidRPr="002F0657" w:rsidRDefault="00CB6BC7" w:rsidP="00CB6BC7">
      <w:pPr>
        <w:pStyle w:val="Body"/>
      </w:pPr>
      <w:r w:rsidRPr="002F0657">
        <w:t>NCQA does not allow the health plan or survey vendor to use incentives of any kind. Proxy responses are not permitted for the adult survey; the sampled member must complete his or her own survey. Either parent or a caretaker who is familiar with the child’s health care may complete the child survey.</w:t>
      </w:r>
    </w:p>
    <w:p w:rsidR="00893514" w:rsidRPr="002F0657" w:rsidRDefault="00CB6BC7" w:rsidP="00CB6BC7">
      <w:pPr>
        <w:pStyle w:val="Body"/>
        <w:tabs>
          <w:tab w:val="left" w:pos="2160"/>
        </w:tabs>
        <w:sectPr w:rsidR="00893514" w:rsidRPr="002F0657" w:rsidSect="003C7BFE">
          <w:pgSz w:w="12240" w:h="15840" w:code="1"/>
          <w:pgMar w:top="1080" w:right="1080" w:bottom="1080" w:left="1440" w:header="720" w:footer="720" w:gutter="0"/>
          <w:cols w:space="720"/>
        </w:sectPr>
      </w:pPr>
      <w:r w:rsidRPr="002F0657">
        <w:t>The survey vendor is expected to maintain the confidentiality of randomly sampled members. Neither NCQA nor the health plan has access to the names of members selected for the survey.</w:t>
      </w:r>
    </w:p>
    <w:p w:rsidR="00CB6BC7" w:rsidRPr="002F0657" w:rsidRDefault="00CB6BC7" w:rsidP="00893514">
      <w:pPr>
        <w:pStyle w:val="Heading3"/>
        <w:spacing w:before="0"/>
      </w:pPr>
      <w:r w:rsidRPr="002F0657">
        <w:t>Mail-Only Methodology</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460"/>
        <w:gridCol w:w="1260"/>
      </w:tblGrid>
      <w:tr w:rsidR="00CB6BC7" w:rsidRPr="002F0657" w:rsidTr="00D53140">
        <w:tc>
          <w:tcPr>
            <w:tcW w:w="8460" w:type="dxa"/>
            <w:tcBorders>
              <w:right w:val="nil"/>
            </w:tcBorders>
            <w:shd w:val="clear" w:color="auto" w:fill="000000"/>
            <w:vAlign w:val="bottom"/>
          </w:tcPr>
          <w:p w:rsidR="00CB6BC7" w:rsidRPr="002F0657" w:rsidRDefault="00CB6BC7" w:rsidP="00D53140">
            <w:pPr>
              <w:pStyle w:val="TableHead"/>
              <w:rPr>
                <w:color w:val="auto"/>
              </w:rPr>
            </w:pPr>
            <w:r w:rsidRPr="002F0657">
              <w:rPr>
                <w:color w:val="auto"/>
              </w:rPr>
              <w:t>Survey Vendor Tasks</w:t>
            </w:r>
          </w:p>
        </w:tc>
        <w:tc>
          <w:tcPr>
            <w:tcW w:w="1260" w:type="dxa"/>
            <w:tcBorders>
              <w:left w:val="single" w:sz="6" w:space="0" w:color="FFFFFF"/>
            </w:tcBorders>
            <w:shd w:val="clear" w:color="auto" w:fill="000000"/>
            <w:vAlign w:val="bottom"/>
          </w:tcPr>
          <w:p w:rsidR="00CB6BC7" w:rsidRPr="002F0657" w:rsidRDefault="00CB6BC7" w:rsidP="00D53140">
            <w:pPr>
              <w:pStyle w:val="TableHead"/>
              <w:rPr>
                <w:color w:val="auto"/>
              </w:rPr>
            </w:pPr>
            <w:r w:rsidRPr="002F0657">
              <w:rPr>
                <w:color w:val="auto"/>
              </w:rPr>
              <w:t>Time Frame</w:t>
            </w:r>
          </w:p>
        </w:tc>
      </w:tr>
      <w:tr w:rsidR="00CB6BC7" w:rsidRPr="002F0657" w:rsidTr="00D53140">
        <w:tc>
          <w:tcPr>
            <w:tcW w:w="8460" w:type="dxa"/>
            <w:tcBorders>
              <w:bottom w:val="nil"/>
            </w:tcBorders>
          </w:tcPr>
          <w:p w:rsidR="00CB6BC7" w:rsidRPr="002F0657" w:rsidRDefault="00CB6BC7" w:rsidP="00D53140">
            <w:pPr>
              <w:pStyle w:val="TableText"/>
            </w:pPr>
            <w:r w:rsidRPr="002F0657">
              <w:t>Send first questionnaire and cover letter to the member</w:t>
            </w:r>
          </w:p>
        </w:tc>
        <w:tc>
          <w:tcPr>
            <w:tcW w:w="1260" w:type="dxa"/>
            <w:tcBorders>
              <w:bottom w:val="nil"/>
            </w:tcBorders>
          </w:tcPr>
          <w:p w:rsidR="00CB6BC7" w:rsidRPr="002F0657" w:rsidRDefault="00CB6BC7" w:rsidP="00D53140">
            <w:pPr>
              <w:pStyle w:val="TableText"/>
            </w:pPr>
            <w:r w:rsidRPr="002F0657">
              <w:t>0 days</w:t>
            </w:r>
          </w:p>
        </w:tc>
      </w:tr>
      <w:tr w:rsidR="00384881" w:rsidRPr="002F0657" w:rsidTr="00564780">
        <w:tc>
          <w:tcPr>
            <w:tcW w:w="8460" w:type="dxa"/>
            <w:tcBorders>
              <w:bottom w:val="nil"/>
            </w:tcBorders>
            <w:shd w:val="clear" w:color="auto" w:fill="D9D9D9" w:themeFill="background1" w:themeFillShade="D9"/>
          </w:tcPr>
          <w:p w:rsidR="00384881" w:rsidRPr="002F0657" w:rsidRDefault="00384881" w:rsidP="00D53140">
            <w:pPr>
              <w:pStyle w:val="TableText"/>
            </w:pPr>
            <w:r>
              <w:t>Send a postcard reminder to nonrespondents 4-10 days after mailing the first questionnaire</w:t>
            </w:r>
          </w:p>
        </w:tc>
        <w:tc>
          <w:tcPr>
            <w:tcW w:w="1260" w:type="dxa"/>
            <w:tcBorders>
              <w:bottom w:val="nil"/>
            </w:tcBorders>
            <w:shd w:val="clear" w:color="auto" w:fill="D9D9D9" w:themeFill="background1" w:themeFillShade="D9"/>
          </w:tcPr>
          <w:p w:rsidR="00384881" w:rsidRPr="002F0657" w:rsidRDefault="00384881" w:rsidP="00D53140">
            <w:pPr>
              <w:pStyle w:val="TableText"/>
            </w:pPr>
            <w:r>
              <w:t>4-10 days</w:t>
            </w:r>
          </w:p>
        </w:tc>
      </w:tr>
      <w:tr w:rsidR="00CB6BC7" w:rsidRPr="002F0657" w:rsidTr="00384881">
        <w:tc>
          <w:tcPr>
            <w:tcW w:w="8460" w:type="dxa"/>
            <w:tcBorders>
              <w:bottom w:val="nil"/>
            </w:tcBorders>
            <w:shd w:val="clear" w:color="auto" w:fill="FFFFFF" w:themeFill="background1"/>
          </w:tcPr>
          <w:p w:rsidR="00CB6BC7" w:rsidRPr="002F0657" w:rsidRDefault="00CB6BC7" w:rsidP="00D53140">
            <w:pPr>
              <w:pStyle w:val="TableText"/>
            </w:pPr>
            <w:r w:rsidRPr="002F0657">
              <w:t>Send a second questionnaire and second cover letter to nonrespondents approximately 35 days after mailing the first questionnaire</w:t>
            </w:r>
          </w:p>
        </w:tc>
        <w:tc>
          <w:tcPr>
            <w:tcW w:w="1260" w:type="dxa"/>
            <w:tcBorders>
              <w:bottom w:val="nil"/>
            </w:tcBorders>
            <w:shd w:val="clear" w:color="auto" w:fill="FFFFFF" w:themeFill="background1"/>
          </w:tcPr>
          <w:p w:rsidR="00CB6BC7" w:rsidRPr="002F0657" w:rsidRDefault="00CB6BC7" w:rsidP="00D53140">
            <w:pPr>
              <w:pStyle w:val="TableText"/>
            </w:pPr>
            <w:r w:rsidRPr="002F0657">
              <w:t>35 days</w:t>
            </w:r>
          </w:p>
        </w:tc>
      </w:tr>
      <w:tr w:rsidR="00384881" w:rsidRPr="002F0657" w:rsidTr="00384881">
        <w:tc>
          <w:tcPr>
            <w:tcW w:w="8460" w:type="dxa"/>
            <w:tcBorders>
              <w:bottom w:val="nil"/>
            </w:tcBorders>
            <w:shd w:val="clear" w:color="auto" w:fill="D9D9D9" w:themeFill="background1" w:themeFillShade="D9"/>
          </w:tcPr>
          <w:p w:rsidR="00384881" w:rsidRPr="002F0657" w:rsidRDefault="00384881" w:rsidP="00D53140">
            <w:pPr>
              <w:pStyle w:val="TableText"/>
            </w:pPr>
            <w:r>
              <w:t>Send a second postcard reminder to nonrespondents 4-10 days after mailing the second questionnaire</w:t>
            </w:r>
          </w:p>
        </w:tc>
        <w:tc>
          <w:tcPr>
            <w:tcW w:w="1260" w:type="dxa"/>
            <w:tcBorders>
              <w:bottom w:val="nil"/>
            </w:tcBorders>
            <w:shd w:val="clear" w:color="auto" w:fill="D9D9D9" w:themeFill="background1" w:themeFillShade="D9"/>
          </w:tcPr>
          <w:p w:rsidR="00384881" w:rsidRPr="002F0657" w:rsidRDefault="00384881" w:rsidP="00D53140">
            <w:pPr>
              <w:pStyle w:val="TableText"/>
            </w:pPr>
            <w:r>
              <w:t>39-45 days</w:t>
            </w:r>
          </w:p>
        </w:tc>
      </w:tr>
      <w:tr w:rsidR="00CB6BC7" w:rsidRPr="002F0657" w:rsidTr="00384881">
        <w:tc>
          <w:tcPr>
            <w:tcW w:w="8460" w:type="dxa"/>
            <w:tcBorders>
              <w:bottom w:val="nil"/>
            </w:tcBorders>
            <w:shd w:val="clear" w:color="auto" w:fill="FFFFFF" w:themeFill="background1"/>
          </w:tcPr>
          <w:p w:rsidR="00CB6BC7" w:rsidRPr="002F0657" w:rsidRDefault="00CB6BC7" w:rsidP="00D53140">
            <w:pPr>
              <w:pStyle w:val="TableText"/>
            </w:pPr>
            <w:r w:rsidRPr="002F0657">
              <w:t>Send a third questionnaire and third cover letter to nonrespondents approximately 25 days after mailing the second questionnaire</w:t>
            </w:r>
          </w:p>
        </w:tc>
        <w:tc>
          <w:tcPr>
            <w:tcW w:w="1260" w:type="dxa"/>
            <w:tcBorders>
              <w:bottom w:val="nil"/>
            </w:tcBorders>
            <w:shd w:val="clear" w:color="auto" w:fill="FFFFFF" w:themeFill="background1"/>
          </w:tcPr>
          <w:p w:rsidR="00CB6BC7" w:rsidRPr="002F0657" w:rsidRDefault="00CB6BC7" w:rsidP="00D53140">
            <w:pPr>
              <w:pStyle w:val="TableText"/>
            </w:pPr>
            <w:r w:rsidRPr="002F0657">
              <w:t>60 days</w:t>
            </w:r>
          </w:p>
        </w:tc>
      </w:tr>
      <w:tr w:rsidR="00CB6BC7" w:rsidRPr="002F0657" w:rsidTr="00384881">
        <w:tc>
          <w:tcPr>
            <w:tcW w:w="8460" w:type="dxa"/>
            <w:shd w:val="clear" w:color="auto" w:fill="D9D9D9" w:themeFill="background1" w:themeFillShade="D9"/>
          </w:tcPr>
          <w:p w:rsidR="00CB6BC7" w:rsidRPr="002F0657" w:rsidRDefault="00CB6BC7" w:rsidP="00D53140">
            <w:pPr>
              <w:pStyle w:val="TableText"/>
            </w:pPr>
            <w:r w:rsidRPr="002F0657">
              <w:t>Allow at least 21 days for the third questionnaire to be returned by the member</w:t>
            </w:r>
          </w:p>
        </w:tc>
        <w:tc>
          <w:tcPr>
            <w:tcW w:w="1260" w:type="dxa"/>
            <w:shd w:val="clear" w:color="auto" w:fill="D9D9D9" w:themeFill="background1" w:themeFillShade="D9"/>
          </w:tcPr>
          <w:p w:rsidR="00CB6BC7" w:rsidRPr="002F0657" w:rsidRDefault="00CB6BC7" w:rsidP="00D53140">
            <w:pPr>
              <w:pStyle w:val="TableText"/>
            </w:pPr>
            <w:r w:rsidRPr="002F0657">
              <w:t>81 days</w:t>
            </w:r>
          </w:p>
        </w:tc>
      </w:tr>
    </w:tbl>
    <w:p w:rsidR="00CB6BC7" w:rsidRPr="002F0657" w:rsidRDefault="00CB6BC7" w:rsidP="00CB6BC7">
      <w:pPr>
        <w:pStyle w:val="Heading3"/>
      </w:pPr>
      <w:r w:rsidRPr="002F0657">
        <w:t>Mixed Methodology</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460"/>
        <w:gridCol w:w="1260"/>
      </w:tblGrid>
      <w:tr w:rsidR="00CB6BC7" w:rsidRPr="002F0657" w:rsidTr="00D53140">
        <w:tc>
          <w:tcPr>
            <w:tcW w:w="8460" w:type="dxa"/>
            <w:tcBorders>
              <w:right w:val="nil"/>
            </w:tcBorders>
            <w:shd w:val="clear" w:color="auto" w:fill="000000"/>
            <w:vAlign w:val="bottom"/>
          </w:tcPr>
          <w:p w:rsidR="00CB6BC7" w:rsidRPr="002F0657" w:rsidRDefault="00CB6BC7" w:rsidP="00D53140">
            <w:pPr>
              <w:pStyle w:val="TableHead"/>
              <w:rPr>
                <w:color w:val="auto"/>
              </w:rPr>
            </w:pPr>
            <w:r w:rsidRPr="002F0657">
              <w:rPr>
                <w:color w:val="auto"/>
              </w:rPr>
              <w:t>Survey Vendor Tasks</w:t>
            </w:r>
          </w:p>
        </w:tc>
        <w:tc>
          <w:tcPr>
            <w:tcW w:w="1260" w:type="dxa"/>
            <w:tcBorders>
              <w:left w:val="single" w:sz="6" w:space="0" w:color="FFFFFF"/>
            </w:tcBorders>
            <w:shd w:val="clear" w:color="auto" w:fill="000000"/>
            <w:vAlign w:val="bottom"/>
          </w:tcPr>
          <w:p w:rsidR="00CB6BC7" w:rsidRPr="002F0657" w:rsidRDefault="00CB6BC7" w:rsidP="00D53140">
            <w:pPr>
              <w:pStyle w:val="TableHead"/>
              <w:rPr>
                <w:color w:val="auto"/>
              </w:rPr>
            </w:pPr>
            <w:r w:rsidRPr="002F0657">
              <w:rPr>
                <w:color w:val="auto"/>
              </w:rPr>
              <w:t>Time Frame</w:t>
            </w:r>
          </w:p>
        </w:tc>
      </w:tr>
      <w:tr w:rsidR="00CB6BC7" w:rsidRPr="002F0657" w:rsidTr="00D53140">
        <w:tc>
          <w:tcPr>
            <w:tcW w:w="8460" w:type="dxa"/>
            <w:tcBorders>
              <w:bottom w:val="nil"/>
            </w:tcBorders>
          </w:tcPr>
          <w:p w:rsidR="00CB6BC7" w:rsidRPr="002F0657" w:rsidRDefault="00CB6BC7" w:rsidP="00D53140">
            <w:pPr>
              <w:pStyle w:val="TableText"/>
            </w:pPr>
            <w:r w:rsidRPr="002F0657">
              <w:t>Send first questionnaire and cover letter to the member</w:t>
            </w:r>
          </w:p>
        </w:tc>
        <w:tc>
          <w:tcPr>
            <w:tcW w:w="1260" w:type="dxa"/>
            <w:tcBorders>
              <w:bottom w:val="nil"/>
            </w:tcBorders>
          </w:tcPr>
          <w:p w:rsidR="00CB6BC7" w:rsidRPr="002F0657" w:rsidRDefault="00CB6BC7" w:rsidP="00D53140">
            <w:pPr>
              <w:pStyle w:val="TableText"/>
            </w:pPr>
            <w:r w:rsidRPr="002F0657">
              <w:t>0 days</w:t>
            </w:r>
          </w:p>
        </w:tc>
      </w:tr>
      <w:tr w:rsidR="00384881" w:rsidRPr="002F0657" w:rsidTr="00564780">
        <w:tc>
          <w:tcPr>
            <w:tcW w:w="8460" w:type="dxa"/>
            <w:tcBorders>
              <w:bottom w:val="nil"/>
            </w:tcBorders>
            <w:shd w:val="clear" w:color="auto" w:fill="D9D9D9" w:themeFill="background1" w:themeFillShade="D9"/>
          </w:tcPr>
          <w:p w:rsidR="00384881" w:rsidRPr="002F0657" w:rsidRDefault="00384881" w:rsidP="00D53140">
            <w:pPr>
              <w:pStyle w:val="TableText"/>
            </w:pPr>
            <w:r>
              <w:t>Send a postcard reminder to nonrespondents 4-10 days after mailing the first questionnaire</w:t>
            </w:r>
          </w:p>
        </w:tc>
        <w:tc>
          <w:tcPr>
            <w:tcW w:w="1260" w:type="dxa"/>
            <w:tcBorders>
              <w:bottom w:val="nil"/>
            </w:tcBorders>
            <w:shd w:val="clear" w:color="auto" w:fill="D9D9D9" w:themeFill="background1" w:themeFillShade="D9"/>
          </w:tcPr>
          <w:p w:rsidR="00384881" w:rsidRPr="002F0657" w:rsidRDefault="00384881" w:rsidP="00D53140">
            <w:pPr>
              <w:pStyle w:val="TableText"/>
            </w:pPr>
            <w:r>
              <w:t>4-10 days</w:t>
            </w:r>
          </w:p>
        </w:tc>
      </w:tr>
      <w:tr w:rsidR="00CB6BC7" w:rsidRPr="002F0657" w:rsidTr="00384881">
        <w:tc>
          <w:tcPr>
            <w:tcW w:w="8460" w:type="dxa"/>
            <w:tcBorders>
              <w:bottom w:val="nil"/>
            </w:tcBorders>
            <w:shd w:val="clear" w:color="auto" w:fill="FFFFFF" w:themeFill="background1"/>
          </w:tcPr>
          <w:p w:rsidR="00CB6BC7" w:rsidRPr="002F0657" w:rsidRDefault="00CB6BC7" w:rsidP="00D53140">
            <w:pPr>
              <w:pStyle w:val="TableText"/>
            </w:pPr>
            <w:r w:rsidRPr="002F0657">
              <w:t>Send a second questionnaire and second cover letter to nonrespondents approximately 35 days after mailing the first questionnaire</w:t>
            </w:r>
          </w:p>
        </w:tc>
        <w:tc>
          <w:tcPr>
            <w:tcW w:w="1260" w:type="dxa"/>
            <w:tcBorders>
              <w:bottom w:val="nil"/>
            </w:tcBorders>
            <w:shd w:val="clear" w:color="auto" w:fill="FFFFFF" w:themeFill="background1"/>
          </w:tcPr>
          <w:p w:rsidR="00CB6BC7" w:rsidRPr="002F0657" w:rsidRDefault="00CB6BC7" w:rsidP="00D53140">
            <w:pPr>
              <w:pStyle w:val="TableText"/>
            </w:pPr>
            <w:r w:rsidRPr="002F0657">
              <w:t>35 days</w:t>
            </w:r>
          </w:p>
        </w:tc>
      </w:tr>
      <w:tr w:rsidR="00384881" w:rsidRPr="002F0657" w:rsidTr="00384881">
        <w:tc>
          <w:tcPr>
            <w:tcW w:w="8460" w:type="dxa"/>
            <w:tcBorders>
              <w:bottom w:val="single" w:sz="6" w:space="0" w:color="auto"/>
            </w:tcBorders>
            <w:shd w:val="clear" w:color="auto" w:fill="D9D9D9" w:themeFill="background1" w:themeFillShade="D9"/>
          </w:tcPr>
          <w:p w:rsidR="00384881" w:rsidRPr="002F0657" w:rsidRDefault="00384881" w:rsidP="00D53140">
            <w:pPr>
              <w:pStyle w:val="TableText"/>
            </w:pPr>
            <w:r>
              <w:t>Send a second postcard reminder to nonrespondents 4-10 days after mailing the second questionnaire</w:t>
            </w:r>
          </w:p>
        </w:tc>
        <w:tc>
          <w:tcPr>
            <w:tcW w:w="1260" w:type="dxa"/>
            <w:tcBorders>
              <w:bottom w:val="single" w:sz="6" w:space="0" w:color="auto"/>
            </w:tcBorders>
            <w:shd w:val="clear" w:color="auto" w:fill="D9D9D9" w:themeFill="background1" w:themeFillShade="D9"/>
          </w:tcPr>
          <w:p w:rsidR="00384881" w:rsidRPr="002F0657" w:rsidRDefault="00384881" w:rsidP="00D53140">
            <w:pPr>
              <w:pStyle w:val="TableText"/>
            </w:pPr>
            <w:r>
              <w:t>39-45 days</w:t>
            </w:r>
          </w:p>
        </w:tc>
      </w:tr>
      <w:tr w:rsidR="00CB6BC7" w:rsidRPr="002F0657" w:rsidTr="00D53140">
        <w:tc>
          <w:tcPr>
            <w:tcW w:w="8460" w:type="dxa"/>
            <w:tcBorders>
              <w:bottom w:val="single" w:sz="6" w:space="0" w:color="auto"/>
            </w:tcBorders>
          </w:tcPr>
          <w:p w:rsidR="00CB6BC7" w:rsidRPr="002F0657" w:rsidRDefault="00CB6BC7" w:rsidP="00D53140">
            <w:pPr>
              <w:pStyle w:val="TableText"/>
            </w:pPr>
            <w:r w:rsidRPr="002F0657">
              <w:t>Initiate computer-assisted telephone interviews (CATI) for nonrespondents approximately 21 days after mailing the second questionnaire</w:t>
            </w:r>
          </w:p>
        </w:tc>
        <w:tc>
          <w:tcPr>
            <w:tcW w:w="1260" w:type="dxa"/>
            <w:tcBorders>
              <w:bottom w:val="single" w:sz="6" w:space="0" w:color="auto"/>
            </w:tcBorders>
          </w:tcPr>
          <w:p w:rsidR="00CB6BC7" w:rsidRPr="002F0657" w:rsidRDefault="00CB6BC7" w:rsidP="00D53140">
            <w:pPr>
              <w:pStyle w:val="TableText"/>
            </w:pPr>
            <w:r w:rsidRPr="002F0657">
              <w:t>56 days</w:t>
            </w:r>
          </w:p>
        </w:tc>
      </w:tr>
      <w:tr w:rsidR="00CB6BC7" w:rsidRPr="002F0657" w:rsidTr="00D53140">
        <w:tc>
          <w:tcPr>
            <w:tcW w:w="8460" w:type="dxa"/>
            <w:tcBorders>
              <w:bottom w:val="single" w:sz="6" w:space="0" w:color="auto"/>
            </w:tcBorders>
            <w:shd w:val="clear" w:color="auto" w:fill="E0E0E0"/>
          </w:tcPr>
          <w:p w:rsidR="00CB6BC7" w:rsidRPr="002F0657" w:rsidRDefault="00CB6BC7" w:rsidP="00D53140">
            <w:pPr>
              <w:pStyle w:val="TableText"/>
            </w:pPr>
            <w:r w:rsidRPr="002F0657">
              <w:t>Initiate systematic contact for all nonrespondents so that at least 3 telephone calls are attempted at different times of day, on different days of the week and in different weeks</w:t>
            </w:r>
          </w:p>
        </w:tc>
        <w:tc>
          <w:tcPr>
            <w:tcW w:w="1260" w:type="dxa"/>
            <w:tcBorders>
              <w:bottom w:val="single" w:sz="6" w:space="0" w:color="auto"/>
            </w:tcBorders>
            <w:shd w:val="clear" w:color="auto" w:fill="E0E0E0"/>
          </w:tcPr>
          <w:p w:rsidR="00CB6BC7" w:rsidRPr="002F0657" w:rsidRDefault="00CB6BC7" w:rsidP="00D53140">
            <w:pPr>
              <w:pStyle w:val="TableText"/>
            </w:pPr>
            <w:r w:rsidRPr="002F0657">
              <w:t>56–70 days</w:t>
            </w:r>
          </w:p>
        </w:tc>
      </w:tr>
      <w:tr w:rsidR="00CB6BC7" w:rsidRPr="002F0657" w:rsidTr="00D53140">
        <w:tc>
          <w:tcPr>
            <w:tcW w:w="8460" w:type="dxa"/>
            <w:tcBorders>
              <w:top w:val="single" w:sz="6" w:space="0" w:color="auto"/>
            </w:tcBorders>
          </w:tcPr>
          <w:p w:rsidR="00CB6BC7" w:rsidRPr="002F0657" w:rsidRDefault="00CB6BC7" w:rsidP="00D53140">
            <w:pPr>
              <w:pStyle w:val="TableText"/>
            </w:pPr>
            <w:r w:rsidRPr="002F0657">
              <w:t>Complete telephone follow-up sequence (completed interviews obtained or maximum calls reached for all nonrespondents) approximately 14 days after initiation</w:t>
            </w:r>
          </w:p>
        </w:tc>
        <w:tc>
          <w:tcPr>
            <w:tcW w:w="1260" w:type="dxa"/>
            <w:tcBorders>
              <w:top w:val="single" w:sz="6" w:space="0" w:color="auto"/>
            </w:tcBorders>
          </w:tcPr>
          <w:p w:rsidR="00CB6BC7" w:rsidRPr="002F0657" w:rsidRDefault="00CB6BC7" w:rsidP="00D53140">
            <w:pPr>
              <w:pStyle w:val="TableText"/>
            </w:pPr>
            <w:r w:rsidRPr="002F0657">
              <w:t>70 days</w:t>
            </w:r>
          </w:p>
        </w:tc>
      </w:tr>
    </w:tbl>
    <w:p w:rsidR="00CB6BC7" w:rsidRPr="002F0657" w:rsidRDefault="00CB6BC7" w:rsidP="00CB6BC7">
      <w:pPr>
        <w:pStyle w:val="StdHead"/>
        <w:rPr>
          <w:color w:val="auto"/>
        </w:rPr>
      </w:pPr>
      <w:r w:rsidRPr="002F0657">
        <w:rPr>
          <w:color w:val="auto"/>
        </w:rPr>
        <w:t>Mail Phase of the Protocol</w:t>
      </w:r>
    </w:p>
    <w:p w:rsidR="00CB6BC7" w:rsidRPr="002F0657" w:rsidRDefault="00CB6BC7" w:rsidP="00CB6BC7">
      <w:pPr>
        <w:pStyle w:val="Body"/>
      </w:pPr>
      <w:r w:rsidRPr="002F0657">
        <w:t>The mailing component of the protocol uses standardized questionnaires</w:t>
      </w:r>
      <w:r w:rsidR="00384881">
        <w:t>,</w:t>
      </w:r>
      <w:r w:rsidR="00675EEC" w:rsidRPr="002F0657">
        <w:t xml:space="preserve"> </w:t>
      </w:r>
      <w:r w:rsidRPr="002F0657">
        <w:t>cover letters</w:t>
      </w:r>
      <w:r w:rsidR="00384881">
        <w:t xml:space="preserve"> and reminder postcards</w:t>
      </w:r>
      <w:r w:rsidRPr="002F0657">
        <w:t xml:space="preserve"> provided by NCQA and included as appendices in this volume. The survey vendor is responsible for reproducing a sufficient number of all questionnaires</w:t>
      </w:r>
      <w:r w:rsidR="00384881">
        <w:t>,</w:t>
      </w:r>
      <w:r w:rsidR="00675EEC" w:rsidRPr="002F0657">
        <w:t xml:space="preserve"> </w:t>
      </w:r>
      <w:r w:rsidRPr="002F0657">
        <w:t>cover letters</w:t>
      </w:r>
      <w:r w:rsidR="00384881">
        <w:t xml:space="preserve"> and reminder postcards</w:t>
      </w:r>
      <w:r w:rsidRPr="002F0657">
        <w:t xml:space="preserve"> for survey administration.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340"/>
        <w:gridCol w:w="7560"/>
      </w:tblGrid>
      <w:tr w:rsidR="00CB6BC7" w:rsidRPr="002F0657" w:rsidTr="00D53140">
        <w:tc>
          <w:tcPr>
            <w:tcW w:w="2340"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Approval of printed materials</w:t>
            </w:r>
          </w:p>
        </w:tc>
        <w:tc>
          <w:tcPr>
            <w:tcW w:w="7560" w:type="dxa"/>
            <w:tcBorders>
              <w:top w:val="nil"/>
              <w:left w:val="nil"/>
              <w:bottom w:val="nil"/>
              <w:right w:val="nil"/>
            </w:tcBorders>
            <w:tcMar>
              <w:left w:w="115" w:type="dxa"/>
              <w:right w:w="115" w:type="dxa"/>
            </w:tcMar>
          </w:tcPr>
          <w:p w:rsidR="00CB6BC7" w:rsidRPr="002F0657" w:rsidRDefault="00CB6BC7" w:rsidP="00D53140">
            <w:pPr>
              <w:pStyle w:val="Body"/>
            </w:pPr>
            <w:r w:rsidRPr="002F0657">
              <w:t>The survey vendor forwards all materials to NCQA for approval prior to printing. NCQA reviews printed materials and responds to the survey vendor within five working days.</w:t>
            </w:r>
          </w:p>
        </w:tc>
      </w:tr>
      <w:tr w:rsidR="00CB6BC7" w:rsidRPr="002F0657" w:rsidTr="00D53140">
        <w:tc>
          <w:tcPr>
            <w:tcW w:w="2340"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Questionnaire</w:t>
            </w:r>
          </w:p>
        </w:tc>
        <w:tc>
          <w:tcPr>
            <w:tcW w:w="7560" w:type="dxa"/>
            <w:tcBorders>
              <w:top w:val="nil"/>
              <w:left w:val="nil"/>
              <w:bottom w:val="nil"/>
              <w:right w:val="nil"/>
            </w:tcBorders>
            <w:tcMar>
              <w:left w:w="115" w:type="dxa"/>
              <w:right w:w="115" w:type="dxa"/>
            </w:tcMar>
          </w:tcPr>
          <w:p w:rsidR="00CB6BC7" w:rsidRPr="002F0657" w:rsidRDefault="00CB6BC7" w:rsidP="00D53140">
            <w:pPr>
              <w:pStyle w:val="Body"/>
            </w:pPr>
            <w:r w:rsidRPr="002F0657">
              <w:t>To ensure the comparability of survey results, the health plan and survey vendor may not change the wording of the survey questions, the response categories or the order of the questions.</w:t>
            </w:r>
          </w:p>
          <w:p w:rsidR="00CB6BC7" w:rsidRPr="002F0657" w:rsidRDefault="00CB6BC7" w:rsidP="00D53140">
            <w:pPr>
              <w:pStyle w:val="Body"/>
            </w:pPr>
            <w:r w:rsidRPr="002F0657">
              <w:t>The survey vendor may modify the format and layout of the questionnaire, adhering to formatting parameters specified in the QAP. The survey vendor must customize select questions in the survey with the health plan name (for commercial surveys) or the state Medicaid program name (for Medicaid surveys).</w:t>
            </w:r>
          </w:p>
          <w:p w:rsidR="00BF6C0A" w:rsidRPr="002F0657" w:rsidRDefault="00CB6BC7" w:rsidP="00D53140">
            <w:pPr>
              <w:pStyle w:val="Body"/>
            </w:pPr>
            <w:r w:rsidRPr="002F0657">
              <w:t>To ensure confidentiality, member names and addresses are not printed on the survey questionnaire. Questionnaires are labeled with a confidential tracking identification number, which is used to record each member’s response status so that follow-up mailings of the questionnaire are sent only to nonrespondents.</w:t>
            </w:r>
          </w:p>
        </w:tc>
      </w:tr>
    </w:tbl>
    <w:p w:rsidR="00C97440" w:rsidRDefault="00C97440">
      <w:pPr>
        <w:sectPr w:rsidR="00C97440" w:rsidSect="003C7BFE">
          <w:headerReference w:type="even" r:id="rId26"/>
          <w:pgSz w:w="12240" w:h="15840" w:code="1"/>
          <w:pgMar w:top="1080" w:right="1080" w:bottom="1080" w:left="1440" w:header="720" w:footer="720" w:gutter="0"/>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75"/>
        <w:gridCol w:w="7625"/>
      </w:tblGrid>
      <w:tr w:rsidR="00CB6BC7" w:rsidRPr="002F0657" w:rsidTr="00C97440">
        <w:tc>
          <w:tcPr>
            <w:tcW w:w="2275" w:type="dxa"/>
            <w:tcBorders>
              <w:top w:val="nil"/>
              <w:left w:val="nil"/>
              <w:bottom w:val="nil"/>
              <w:right w:val="nil"/>
            </w:tcBorders>
            <w:tcMar>
              <w:left w:w="115" w:type="dxa"/>
              <w:right w:w="115" w:type="dxa"/>
            </w:tcMar>
          </w:tcPr>
          <w:p w:rsidR="00CB6BC7" w:rsidRPr="002F0657" w:rsidRDefault="00CB6BC7" w:rsidP="00C97440">
            <w:pPr>
              <w:pStyle w:val="MarginSubhead"/>
              <w:spacing w:before="0"/>
            </w:pPr>
            <w:r w:rsidRPr="002F0657">
              <w:t>Cover letters</w:t>
            </w:r>
            <w:r w:rsidR="00384881">
              <w:t xml:space="preserve"> </w:t>
            </w:r>
            <w:r w:rsidR="00C97440">
              <w:br/>
            </w:r>
            <w:r w:rsidR="00384881">
              <w:t>and reminder postcards</w:t>
            </w:r>
            <w:r w:rsidRPr="002F0657">
              <w:t xml:space="preserve"> </w:t>
            </w:r>
          </w:p>
        </w:tc>
        <w:tc>
          <w:tcPr>
            <w:tcW w:w="7625" w:type="dxa"/>
            <w:tcBorders>
              <w:top w:val="nil"/>
              <w:left w:val="nil"/>
              <w:bottom w:val="nil"/>
              <w:right w:val="nil"/>
            </w:tcBorders>
            <w:tcMar>
              <w:left w:w="115" w:type="dxa"/>
              <w:right w:w="115" w:type="dxa"/>
            </w:tcMar>
          </w:tcPr>
          <w:p w:rsidR="00CB6BC7" w:rsidRPr="002F0657" w:rsidRDefault="00CB6BC7" w:rsidP="00C97440">
            <w:pPr>
              <w:pStyle w:val="Body"/>
              <w:spacing w:before="0"/>
            </w:pPr>
            <w:r w:rsidRPr="002F0657">
              <w:t xml:space="preserve">Cover letters </w:t>
            </w:r>
            <w:r w:rsidR="00384881">
              <w:t xml:space="preserve">and reminder postcards </w:t>
            </w:r>
            <w:r w:rsidRPr="002F0657">
              <w:t>may be modified only with prior NCQA approval. Correspondence is personalized as follows.</w:t>
            </w:r>
          </w:p>
          <w:p w:rsidR="00CB6BC7" w:rsidRPr="002F0657" w:rsidRDefault="00CB6BC7" w:rsidP="00D53140">
            <w:pPr>
              <w:pStyle w:val="Bullet"/>
            </w:pPr>
            <w:r w:rsidRPr="002F0657">
              <w:t>The member’s full name is used in all cover letters and envelopes.</w:t>
            </w:r>
          </w:p>
          <w:p w:rsidR="00CB6BC7" w:rsidRDefault="00CB6BC7" w:rsidP="00893514">
            <w:pPr>
              <w:pStyle w:val="Bullet"/>
            </w:pPr>
            <w:r w:rsidRPr="002F0657">
              <w:t xml:space="preserve">The </w:t>
            </w:r>
            <w:r w:rsidRPr="002F0657">
              <w:rPr>
                <w:i/>
              </w:rPr>
              <w:t>Letter for First Questionnaire</w:t>
            </w:r>
            <w:r w:rsidRPr="002F0657">
              <w:t xml:space="preserve"> and </w:t>
            </w:r>
            <w:r w:rsidRPr="002F0657">
              <w:rPr>
                <w:i/>
              </w:rPr>
              <w:t>Letter for Second and Third Questionnaires</w:t>
            </w:r>
            <w:r w:rsidRPr="002F0657">
              <w:t xml:space="preserve"> include the health plan name and signature of a health plan executive. </w:t>
            </w:r>
            <w:r w:rsidR="00384881">
              <w:t xml:space="preserve">The health plan can opt to include the name and signature on the </w:t>
            </w:r>
            <w:r w:rsidR="00384881" w:rsidRPr="00384881">
              <w:rPr>
                <w:i/>
              </w:rPr>
              <w:t>Reminder Postcards</w:t>
            </w:r>
            <w:r w:rsidR="00384881">
              <w:t>, but this is not required.</w:t>
            </w:r>
          </w:p>
          <w:p w:rsidR="00C97440" w:rsidRPr="002F0657" w:rsidRDefault="00C97440" w:rsidP="00893514">
            <w:pPr>
              <w:pStyle w:val="Bullet"/>
            </w:pPr>
            <w:r w:rsidRPr="002F0657">
              <w:t xml:space="preserve">The survey firm’s toll-free customer support telephone number is listed on the </w:t>
            </w:r>
            <w:r w:rsidRPr="002F0657">
              <w:rPr>
                <w:i/>
              </w:rPr>
              <w:t>Letter for First Ques</w:t>
            </w:r>
            <w:r w:rsidRPr="002F0657">
              <w:t>t</w:t>
            </w:r>
            <w:r w:rsidRPr="002F0657">
              <w:rPr>
                <w:i/>
              </w:rPr>
              <w:t>ionnaire, Letter for Second and Third Questionnaires</w:t>
            </w:r>
            <w:r>
              <w:rPr>
                <w:i/>
              </w:rPr>
              <w:t xml:space="preserve"> and Reminder Postcards</w:t>
            </w:r>
            <w:r w:rsidRPr="002F0657">
              <w:t xml:space="preserve"> for members with questions. The telephone line must be staffed from 9:00 a.m. to 8:00 p.m. (survey vendor local time).</w:t>
            </w:r>
          </w:p>
        </w:tc>
      </w:tr>
      <w:tr w:rsidR="00CB6BC7" w:rsidRPr="002F0657" w:rsidTr="00893514">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Personalizing child mail materials</w:t>
            </w:r>
          </w:p>
        </w:tc>
        <w:tc>
          <w:tcPr>
            <w:tcW w:w="7625" w:type="dxa"/>
            <w:tcBorders>
              <w:top w:val="nil"/>
              <w:left w:val="nil"/>
              <w:bottom w:val="nil"/>
              <w:right w:val="nil"/>
            </w:tcBorders>
            <w:tcMar>
              <w:left w:w="115" w:type="dxa"/>
              <w:right w:w="115" w:type="dxa"/>
            </w:tcMar>
          </w:tcPr>
          <w:p w:rsidR="00CB6BC7" w:rsidRPr="002F0657" w:rsidRDefault="00CB6BC7" w:rsidP="00D53140">
            <w:pPr>
              <w:pStyle w:val="Body"/>
            </w:pPr>
            <w:r w:rsidRPr="002F0657">
              <w:t>The health plan selects one of the following two options for personalizing the child survey correspondence.</w:t>
            </w:r>
          </w:p>
          <w:p w:rsidR="00CB6BC7" w:rsidRPr="002F0657" w:rsidRDefault="00CB6BC7" w:rsidP="00D53140">
            <w:pPr>
              <w:pStyle w:val="Bullet"/>
              <w:numPr>
                <w:ilvl w:val="0"/>
                <w:numId w:val="16"/>
              </w:numPr>
              <w:tabs>
                <w:tab w:val="clear" w:pos="1080"/>
              </w:tabs>
              <w:ind w:left="648" w:hanging="288"/>
            </w:pPr>
            <w:r w:rsidRPr="002F0657">
              <w:t>Parent/caretaker’s name and child’s name are used in all cover letters</w:t>
            </w:r>
            <w:r w:rsidR="00384881">
              <w:t>, postcards</w:t>
            </w:r>
            <w:r w:rsidRPr="002F0657">
              <w:t xml:space="preserve"> and envelopes. The parent/caretaker’s address is used for addressing all mailing pieces.</w:t>
            </w:r>
          </w:p>
          <w:p w:rsidR="00CB6BC7" w:rsidRPr="002F0657" w:rsidRDefault="00CB6BC7" w:rsidP="00D53140">
            <w:pPr>
              <w:pStyle w:val="Bullet"/>
              <w:numPr>
                <w:ilvl w:val="0"/>
                <w:numId w:val="16"/>
              </w:numPr>
              <w:tabs>
                <w:tab w:val="clear" w:pos="1080"/>
              </w:tabs>
              <w:ind w:left="648" w:hanging="288"/>
            </w:pPr>
            <w:r w:rsidRPr="002F0657">
              <w:t>Child surveys are addressed “To the parent/caretaker of [child member name].” The child member’s address is used for addressing all mailing pieces.</w:t>
            </w:r>
          </w:p>
        </w:tc>
      </w:tr>
      <w:tr w:rsidR="00CB6BC7" w:rsidRPr="002F0657" w:rsidTr="00893514">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Return envelopes</w:t>
            </w:r>
          </w:p>
        </w:tc>
        <w:tc>
          <w:tcPr>
            <w:tcW w:w="7625" w:type="dxa"/>
            <w:tcBorders>
              <w:top w:val="nil"/>
              <w:left w:val="nil"/>
              <w:bottom w:val="nil"/>
              <w:right w:val="nil"/>
            </w:tcBorders>
            <w:tcMar>
              <w:left w:w="115" w:type="dxa"/>
              <w:right w:w="115" w:type="dxa"/>
            </w:tcMar>
          </w:tcPr>
          <w:p w:rsidR="00CB6BC7" w:rsidRPr="002F0657" w:rsidRDefault="00CB6BC7" w:rsidP="00D53140">
            <w:pPr>
              <w:pStyle w:val="Body"/>
            </w:pPr>
            <w:r w:rsidRPr="002F0657">
              <w:t>Questionnaire mailings include stamped return envelopes or business reply mail envelopes addressed to the survey vendor.</w:t>
            </w:r>
          </w:p>
        </w:tc>
      </w:tr>
      <w:tr w:rsidR="00CB6BC7" w:rsidRPr="002F0657" w:rsidTr="00893514">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First-class postage</w:t>
            </w:r>
          </w:p>
        </w:tc>
        <w:tc>
          <w:tcPr>
            <w:tcW w:w="7625" w:type="dxa"/>
            <w:tcBorders>
              <w:top w:val="nil"/>
              <w:left w:val="nil"/>
              <w:bottom w:val="nil"/>
              <w:right w:val="nil"/>
            </w:tcBorders>
            <w:tcMar>
              <w:left w:w="115" w:type="dxa"/>
              <w:right w:w="115" w:type="dxa"/>
            </w:tcMar>
          </w:tcPr>
          <w:p w:rsidR="00CB6BC7" w:rsidRPr="002F0657" w:rsidRDefault="00CB6BC7" w:rsidP="00D53140">
            <w:pPr>
              <w:pStyle w:val="Body"/>
            </w:pPr>
            <w:r w:rsidRPr="002F0657">
              <w:t>First-class postage and postal bar codes are used on all mailing pieces.</w:t>
            </w:r>
          </w:p>
        </w:tc>
      </w:tr>
      <w:tr w:rsidR="00CB6BC7" w:rsidRPr="002F0657" w:rsidTr="00893514">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Address standardization</w:t>
            </w:r>
          </w:p>
        </w:tc>
        <w:tc>
          <w:tcPr>
            <w:tcW w:w="7625" w:type="dxa"/>
            <w:tcBorders>
              <w:top w:val="nil"/>
              <w:left w:val="nil"/>
              <w:bottom w:val="nil"/>
              <w:right w:val="nil"/>
            </w:tcBorders>
            <w:tcMar>
              <w:left w:w="115" w:type="dxa"/>
              <w:right w:w="115" w:type="dxa"/>
            </w:tcMar>
          </w:tcPr>
          <w:p w:rsidR="00CB6BC7" w:rsidRPr="002F0657" w:rsidRDefault="00CB6BC7" w:rsidP="00D42364">
            <w:pPr>
              <w:pStyle w:val="Body"/>
            </w:pPr>
            <w:r w:rsidRPr="002F0657">
              <w:t xml:space="preserve">To increase the deliverability of the mail survey, all addresses must be complete and accurate. The survey vendor employs address standardization techniques to ensure </w:t>
            </w:r>
            <w:r w:rsidR="00D42364" w:rsidRPr="002F0657">
              <w:t xml:space="preserve">that </w:t>
            </w:r>
            <w:r w:rsidRPr="002F0657">
              <w:t xml:space="preserve">address information is current and formatted </w:t>
            </w:r>
            <w:r w:rsidR="00D42364" w:rsidRPr="002F0657">
              <w:t>to</w:t>
            </w:r>
            <w:r w:rsidRPr="002F0657">
              <w:t xml:space="preserve"> enhance deliverability. Minimum standardization techniques are described in the QAP. </w:t>
            </w:r>
          </w:p>
        </w:tc>
      </w:tr>
      <w:tr w:rsidR="00CB6BC7" w:rsidRPr="002F0657" w:rsidTr="00893514">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First mailing</w:t>
            </w:r>
          </w:p>
        </w:tc>
        <w:tc>
          <w:tcPr>
            <w:tcW w:w="7625"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first mailing includes a questionnaire, the </w:t>
            </w:r>
            <w:r w:rsidRPr="002F0657">
              <w:rPr>
                <w:i/>
              </w:rPr>
              <w:t>Letter for First Questionnaire</w:t>
            </w:r>
            <w:r w:rsidRPr="002F0657">
              <w:t xml:space="preserve"> and a stamped return envelope or business reply mail envelope addressed to the survey vendor.</w:t>
            </w:r>
          </w:p>
        </w:tc>
      </w:tr>
      <w:tr w:rsidR="00CB6BC7" w:rsidRPr="002F0657" w:rsidTr="00893514">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Second and third mailings</w:t>
            </w:r>
          </w:p>
        </w:tc>
        <w:tc>
          <w:tcPr>
            <w:tcW w:w="7625"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second and (if applicable) third mailings contain a questionnaire, the </w:t>
            </w:r>
            <w:r w:rsidRPr="002F0657">
              <w:rPr>
                <w:i/>
              </w:rPr>
              <w:t>Letter for Second and Third Questionnaire</w:t>
            </w:r>
            <w:r w:rsidRPr="002F0657">
              <w:t xml:space="preserve"> and a stamped return envelope or business reply mail envelope addressed to the survey vendor.</w:t>
            </w:r>
          </w:p>
        </w:tc>
      </w:tr>
      <w:tr w:rsidR="00CB6BC7" w:rsidRPr="002F0657" w:rsidTr="00893514">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Data entry</w:t>
            </w:r>
          </w:p>
        </w:tc>
        <w:tc>
          <w:tcPr>
            <w:tcW w:w="7625" w:type="dxa"/>
            <w:tcBorders>
              <w:top w:val="nil"/>
              <w:left w:val="nil"/>
              <w:bottom w:val="nil"/>
              <w:right w:val="nil"/>
            </w:tcBorders>
            <w:tcMar>
              <w:left w:w="115" w:type="dxa"/>
              <w:right w:w="115" w:type="dxa"/>
            </w:tcMar>
          </w:tcPr>
          <w:p w:rsidR="00CB6BC7" w:rsidRPr="002F0657" w:rsidRDefault="00CB6BC7" w:rsidP="00D53140">
            <w:pPr>
              <w:pStyle w:val="Body"/>
            </w:pPr>
            <w:r w:rsidRPr="002F0657">
              <w:t>The survey vendor reviews each returned mail questionnaire for legibility and completeness. If member responses are ambiguous, a coding specialist employs decision rules documented in the QAP. After coding is complete, data are uploaded to the vendor’s survey management system.</w:t>
            </w:r>
          </w:p>
          <w:p w:rsidR="00CB6BC7" w:rsidRPr="002F0657" w:rsidRDefault="00CB6BC7" w:rsidP="00D53140">
            <w:pPr>
              <w:pStyle w:val="Body"/>
            </w:pPr>
            <w:r w:rsidRPr="002F0657">
              <w:t>Questionnaires can be keyed or optically scanned. To ensure quality for key-entered data, two separate data entry specialists must independently key-enter answers for each questionnaire. A comparison of the separate entries identifies data entry errors needing adjudication.</w:t>
            </w:r>
          </w:p>
        </w:tc>
      </w:tr>
      <w:tr w:rsidR="00CB6BC7" w:rsidRPr="002F0657" w:rsidTr="00D53140">
        <w:tc>
          <w:tcPr>
            <w:tcW w:w="2275" w:type="dxa"/>
            <w:tcBorders>
              <w:top w:val="nil"/>
              <w:left w:val="nil"/>
              <w:bottom w:val="nil"/>
              <w:right w:val="nil"/>
            </w:tcBorders>
            <w:tcMar>
              <w:left w:w="115" w:type="dxa"/>
              <w:right w:w="115" w:type="dxa"/>
            </w:tcMar>
          </w:tcPr>
          <w:p w:rsidR="00CB6BC7" w:rsidRPr="002F0657" w:rsidRDefault="00CB6BC7" w:rsidP="00D6641A">
            <w:pPr>
              <w:pStyle w:val="MarginSubhead"/>
            </w:pPr>
            <w:r w:rsidRPr="002F0657">
              <w:t>Quality control</w:t>
            </w:r>
          </w:p>
        </w:tc>
        <w:tc>
          <w:tcPr>
            <w:tcW w:w="7625" w:type="dxa"/>
            <w:tcBorders>
              <w:top w:val="nil"/>
              <w:left w:val="nil"/>
              <w:bottom w:val="nil"/>
              <w:right w:val="nil"/>
            </w:tcBorders>
            <w:tcMar>
              <w:left w:w="115" w:type="dxa"/>
              <w:right w:w="115" w:type="dxa"/>
            </w:tcMar>
          </w:tcPr>
          <w:p w:rsidR="00CB6BC7" w:rsidRPr="002F0657" w:rsidRDefault="00CB6BC7" w:rsidP="00D6641A">
            <w:pPr>
              <w:pStyle w:val="Body"/>
            </w:pPr>
            <w:r w:rsidRPr="002F0657">
              <w:t>The survey vendor establishes training programs for all personnel involved in the mail phase of the protocol. It also establishes quality control procedures and monitors staff performance and subcontractors, if applicable, to ensure integrity of the printing and mailing processes. The survey vendor provides NCQA with written documentation of personnel training and quality control processes.</w:t>
            </w:r>
          </w:p>
        </w:tc>
      </w:tr>
    </w:tbl>
    <w:p w:rsidR="00D6641A" w:rsidRPr="002F0657" w:rsidRDefault="00D6641A" w:rsidP="00D6641A">
      <w:pPr>
        <w:sectPr w:rsidR="00D6641A" w:rsidRPr="002F0657" w:rsidSect="003C7BFE">
          <w:pgSz w:w="12240" w:h="15840" w:code="1"/>
          <w:pgMar w:top="1080" w:right="1080" w:bottom="1080" w:left="1440" w:header="720" w:footer="720" w:gutter="0"/>
          <w:cols w:space="720"/>
        </w:sectPr>
      </w:pPr>
    </w:p>
    <w:p w:rsidR="00CB6BC7" w:rsidRPr="002F0657" w:rsidRDefault="00CB6BC7" w:rsidP="00D6641A">
      <w:pPr>
        <w:pStyle w:val="StdHead"/>
        <w:spacing w:before="0"/>
        <w:rPr>
          <w:color w:val="auto"/>
        </w:rPr>
      </w:pPr>
      <w:r w:rsidRPr="002F0657">
        <w:rPr>
          <w:color w:val="auto"/>
        </w:rPr>
        <w:t>Telephone Phase of the Protocol</w:t>
      </w:r>
    </w:p>
    <w:p w:rsidR="00CB6BC7" w:rsidRPr="00E11409" w:rsidRDefault="00CB6BC7" w:rsidP="00CB6BC7">
      <w:pPr>
        <w:pStyle w:val="Body"/>
      </w:pPr>
      <w:r w:rsidRPr="002F0657">
        <w:t>The telephone component of the protocol uses standardized, computer-assisted telephone interviewing (CATI) scripts and design specifications provided by NCQA. The survey vendor is responsible for programming the scripts and specifications into its existing CATI software. The survey vendor establishes enough operating CATI stations to ensure that interviewers are able to complete the telephone phase of the protocol within the protocol ti</w:t>
      </w:r>
      <w:r w:rsidRPr="00E11409">
        <w:t>meline.</w:t>
      </w:r>
    </w:p>
    <w:p w:rsidR="00CB6BC7" w:rsidRPr="00E11409" w:rsidRDefault="00CB6BC7" w:rsidP="00CB6BC7">
      <w:pPr>
        <w:pStyle w:val="Body"/>
      </w:pPr>
      <w:r w:rsidRPr="00E11409">
        <w:t>To ensure the comparability of survey results, survey vendors may not change the wording of the survey questions, the response categories or the question order. The CATI script and design specifications may be modified only with prior NCQA approval.</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75"/>
        <w:gridCol w:w="7625"/>
      </w:tblGrid>
      <w:tr w:rsidR="00CB6BC7" w:rsidRPr="002F0657" w:rsidTr="00D53140">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Telephone number standardization</w:t>
            </w:r>
          </w:p>
        </w:tc>
        <w:tc>
          <w:tcPr>
            <w:tcW w:w="7625" w:type="dxa"/>
            <w:tcBorders>
              <w:top w:val="nil"/>
              <w:left w:val="nil"/>
              <w:bottom w:val="nil"/>
              <w:right w:val="nil"/>
            </w:tcBorders>
            <w:tcMar>
              <w:left w:w="115" w:type="dxa"/>
              <w:right w:w="115" w:type="dxa"/>
            </w:tcMar>
          </w:tcPr>
          <w:p w:rsidR="00CB6BC7" w:rsidRPr="002F0657" w:rsidRDefault="00CB6BC7" w:rsidP="00D53140">
            <w:pPr>
              <w:pStyle w:val="Body"/>
            </w:pPr>
            <w:r w:rsidRPr="002F0657">
              <w:t>The survey vendor employs telephone number standardization techniques to ensure the accuracy of telephone numbers. Minimum standards for validating telephone numbers are described in the QAP.</w:t>
            </w:r>
          </w:p>
        </w:tc>
      </w:tr>
      <w:tr w:rsidR="00CB6BC7" w:rsidRPr="002F0657" w:rsidTr="00D53140">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Telephone attempts</w:t>
            </w:r>
          </w:p>
        </w:tc>
        <w:tc>
          <w:tcPr>
            <w:tcW w:w="7625" w:type="dxa"/>
            <w:tcBorders>
              <w:top w:val="nil"/>
              <w:left w:val="nil"/>
              <w:bottom w:val="nil"/>
              <w:right w:val="nil"/>
            </w:tcBorders>
            <w:tcMar>
              <w:left w:w="115" w:type="dxa"/>
              <w:right w:w="115" w:type="dxa"/>
            </w:tcMar>
          </w:tcPr>
          <w:p w:rsidR="00CB6BC7" w:rsidRPr="002F0657" w:rsidRDefault="00CB6BC7" w:rsidP="00D53140">
            <w:pPr>
              <w:pStyle w:val="Body"/>
            </w:pPr>
            <w:r w:rsidRPr="002F0657">
              <w:t>The survey vendor attempts to contact nonrespondents by telephone so that at least three telephone calls are attempted at different times of day, on different days of the week and in different weeks.</w:t>
            </w:r>
          </w:p>
        </w:tc>
      </w:tr>
      <w:tr w:rsidR="00CB6BC7" w:rsidRPr="002F0657" w:rsidTr="00D53140">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Reminder call</w:t>
            </w:r>
          </w:p>
        </w:tc>
        <w:tc>
          <w:tcPr>
            <w:tcW w:w="7625" w:type="dxa"/>
            <w:tcBorders>
              <w:top w:val="nil"/>
              <w:left w:val="nil"/>
              <w:bottom w:val="nil"/>
              <w:right w:val="nil"/>
            </w:tcBorders>
            <w:tcMar>
              <w:left w:w="115" w:type="dxa"/>
              <w:right w:w="115" w:type="dxa"/>
            </w:tcMar>
          </w:tcPr>
          <w:p w:rsidR="00CB6BC7" w:rsidRPr="002F0657" w:rsidRDefault="00CB6BC7" w:rsidP="00D53140">
            <w:pPr>
              <w:pStyle w:val="Body"/>
            </w:pPr>
            <w:r w:rsidRPr="002F0657">
              <w:t>The survey vendor may perform a reminder telephone call to encourage members to complete and return the questionnaires they received in the mail. The reminder call does not satisfy one of the three required telephone attempts.</w:t>
            </w:r>
          </w:p>
        </w:tc>
      </w:tr>
      <w:tr w:rsidR="00CB6BC7" w:rsidRPr="002F0657" w:rsidTr="00D53140">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Quality control</w:t>
            </w:r>
          </w:p>
        </w:tc>
        <w:tc>
          <w:tcPr>
            <w:tcW w:w="7625" w:type="dxa"/>
            <w:tcBorders>
              <w:top w:val="nil"/>
              <w:left w:val="nil"/>
              <w:bottom w:val="nil"/>
              <w:right w:val="nil"/>
            </w:tcBorders>
            <w:tcMar>
              <w:left w:w="115" w:type="dxa"/>
              <w:right w:w="115" w:type="dxa"/>
            </w:tcMar>
          </w:tcPr>
          <w:p w:rsidR="00CB6BC7" w:rsidRPr="002F0657" w:rsidRDefault="00CB6BC7" w:rsidP="00D53140">
            <w:pPr>
              <w:pStyle w:val="Body"/>
            </w:pPr>
            <w:r w:rsidRPr="002F0657">
              <w:t>The survey vendor establishes training programs for all personnel involved in the telephone phase of the protocol. The vendor also establishes quality control procedures and monitors staff and subcontractor performance (if applicable) to ensure the integrity of the telephone interviewing process. The survey vendor provides NCQA with written documentation of personnel training and quality control processes.</w:t>
            </w:r>
          </w:p>
        </w:tc>
      </w:tr>
    </w:tbl>
    <w:p w:rsidR="00CB6BC7" w:rsidRPr="002F0657" w:rsidRDefault="00CB6BC7" w:rsidP="00CB6BC7">
      <w:pPr>
        <w:pStyle w:val="StdHead"/>
        <w:rPr>
          <w:color w:val="auto"/>
        </w:rPr>
      </w:pPr>
      <w:r w:rsidRPr="002F0657">
        <w:rPr>
          <w:color w:val="auto"/>
        </w:rPr>
        <w:t>Protocol Enhancement Options</w:t>
      </w:r>
    </w:p>
    <w:p w:rsidR="00CB6BC7" w:rsidRPr="002F0657" w:rsidRDefault="00CB6BC7" w:rsidP="00CB6BC7">
      <w:pPr>
        <w:pStyle w:val="Body"/>
      </w:pPr>
      <w:r w:rsidRPr="002F0657">
        <w:t>A health plan and survey vendor must submit a written proposal to NCQA if they collect HEDIS/CAHPS</w:t>
      </w:r>
      <w:r w:rsidRPr="002F0657" w:rsidDel="00C3267C">
        <w:t xml:space="preserve"> </w:t>
      </w:r>
      <w:r w:rsidRPr="002F0657">
        <w:t>survey results using a methodology that differs from the standard HEDIS protocols. The proposal must meet the following criteria</w:t>
      </w:r>
      <w:r w:rsidR="002F0657">
        <w:t>:</w:t>
      </w:r>
    </w:p>
    <w:p w:rsidR="00CB6BC7" w:rsidRPr="002F0657" w:rsidRDefault="00CB6BC7" w:rsidP="00CB6BC7">
      <w:pPr>
        <w:pStyle w:val="Bullet"/>
      </w:pPr>
      <w:r w:rsidRPr="002F0657">
        <w:t>Describes the proposed methodology</w:t>
      </w:r>
      <w:r w:rsidR="002F0657">
        <w:t>.</w:t>
      </w:r>
    </w:p>
    <w:p w:rsidR="00CB6BC7" w:rsidRPr="002F0657" w:rsidRDefault="00CB6BC7" w:rsidP="00CB6BC7">
      <w:pPr>
        <w:pStyle w:val="Bullet"/>
      </w:pPr>
      <w:r w:rsidRPr="002F0657">
        <w:t>Explicitly describes differences between the proposed methodology and the standard HEDIS methodology</w:t>
      </w:r>
      <w:r w:rsidR="002F0657">
        <w:t>.</w:t>
      </w:r>
    </w:p>
    <w:p w:rsidR="00CB6BC7" w:rsidRPr="002F0657" w:rsidRDefault="00CB6BC7" w:rsidP="00CB6BC7">
      <w:pPr>
        <w:pStyle w:val="Bullet"/>
      </w:pPr>
      <w:r w:rsidRPr="002F0657">
        <w:t xml:space="preserve">Provides rationale for the proposed methodology (e.g., using translations, </w:t>
      </w:r>
      <w:r w:rsidR="00AB5901" w:rsidRPr="002F0657">
        <w:t xml:space="preserve">improved response rates, </w:t>
      </w:r>
      <w:r w:rsidRPr="002F0657">
        <w:t>cost effectiveness, demographics of health plan membership)</w:t>
      </w:r>
      <w:r w:rsidR="002F0657">
        <w:t>.</w:t>
      </w:r>
    </w:p>
    <w:p w:rsidR="00CB6BC7" w:rsidRPr="002F0657" w:rsidRDefault="00CB6BC7" w:rsidP="00CB6BC7">
      <w:pPr>
        <w:pStyle w:val="Bullet"/>
      </w:pPr>
      <w:r w:rsidRPr="002F0657">
        <w:t>Allows five working days for a written response from NCQA</w:t>
      </w:r>
      <w:r w:rsidR="002F0657">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75"/>
        <w:gridCol w:w="7625"/>
      </w:tblGrid>
      <w:tr w:rsidR="00CB6BC7" w:rsidRPr="002F0657" w:rsidTr="00D53140">
        <w:tc>
          <w:tcPr>
            <w:tcW w:w="2275" w:type="dxa"/>
            <w:tcBorders>
              <w:top w:val="nil"/>
              <w:left w:val="nil"/>
              <w:bottom w:val="nil"/>
              <w:right w:val="nil"/>
            </w:tcBorders>
            <w:tcMar>
              <w:left w:w="115" w:type="dxa"/>
              <w:right w:w="115" w:type="dxa"/>
            </w:tcMar>
          </w:tcPr>
          <w:p w:rsidR="00CB6BC7" w:rsidRPr="002F0657" w:rsidRDefault="00CB6BC7" w:rsidP="00D6641A">
            <w:pPr>
              <w:pStyle w:val="MarginSubhead"/>
            </w:pPr>
            <w:r w:rsidRPr="002F0657">
              <w:t>Enhanced methodology</w:t>
            </w:r>
          </w:p>
        </w:tc>
        <w:tc>
          <w:tcPr>
            <w:tcW w:w="7625" w:type="dxa"/>
            <w:tcBorders>
              <w:top w:val="nil"/>
              <w:left w:val="nil"/>
              <w:bottom w:val="nil"/>
              <w:right w:val="nil"/>
            </w:tcBorders>
            <w:tcMar>
              <w:left w:w="115" w:type="dxa"/>
              <w:right w:w="115" w:type="dxa"/>
            </w:tcMar>
          </w:tcPr>
          <w:p w:rsidR="00CB6BC7" w:rsidRPr="002F0657" w:rsidRDefault="00CB6BC7" w:rsidP="00D6641A">
            <w:pPr>
              <w:pStyle w:val="Body"/>
            </w:pPr>
            <w:r w:rsidRPr="002F0657">
              <w:t>This is an optional methodology in which enhancements are made without significantly altering the standard methodology. The health plan is not required to achieve a minimum response rate.</w:t>
            </w:r>
          </w:p>
        </w:tc>
      </w:tr>
      <w:tr w:rsidR="00CB6BC7" w:rsidRPr="002F0657" w:rsidTr="00D53140">
        <w:tc>
          <w:tcPr>
            <w:tcW w:w="227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Standardized Internet data collection protocol enhancement</w:t>
            </w:r>
          </w:p>
        </w:tc>
        <w:tc>
          <w:tcPr>
            <w:tcW w:w="7625"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NCQA provides a standardized Internet data collection protocol enhancement </w:t>
            </w:r>
            <w:r w:rsidRPr="002F0657">
              <w:br/>
              <w:t>for optional use by health plans and survey vendors. Specifications for the standardized HEDIS/CAHPS Internet enhancement are included as Appendix 8 of this volume.</w:t>
            </w:r>
          </w:p>
        </w:tc>
      </w:tr>
    </w:tbl>
    <w:p w:rsidR="00D6641A" w:rsidRPr="002F0657" w:rsidRDefault="00D6641A">
      <w:pPr>
        <w:sectPr w:rsidR="00D6641A" w:rsidRPr="002F0657" w:rsidSect="003C7BFE">
          <w:pgSz w:w="12240" w:h="15840" w:code="1"/>
          <w:pgMar w:top="1080" w:right="1080" w:bottom="1080" w:left="1440" w:header="720" w:footer="720" w:gutter="0"/>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75"/>
        <w:gridCol w:w="7625"/>
      </w:tblGrid>
      <w:tr w:rsidR="00CB6BC7" w:rsidRPr="002F0657" w:rsidTr="00D53140">
        <w:tc>
          <w:tcPr>
            <w:tcW w:w="2275" w:type="dxa"/>
            <w:tcBorders>
              <w:top w:val="nil"/>
              <w:left w:val="nil"/>
              <w:bottom w:val="nil"/>
              <w:right w:val="nil"/>
            </w:tcBorders>
            <w:tcMar>
              <w:left w:w="115" w:type="dxa"/>
              <w:right w:w="115" w:type="dxa"/>
            </w:tcMar>
          </w:tcPr>
          <w:p w:rsidR="00CB6BC7" w:rsidRPr="002F0657" w:rsidRDefault="00CB6BC7" w:rsidP="00D6641A">
            <w:pPr>
              <w:pStyle w:val="MarginSubhead"/>
              <w:spacing w:before="0"/>
            </w:pPr>
            <w:r w:rsidRPr="002F0657">
              <w:t>Spanish translations</w:t>
            </w:r>
          </w:p>
        </w:tc>
        <w:tc>
          <w:tcPr>
            <w:tcW w:w="7625" w:type="dxa"/>
            <w:tcBorders>
              <w:top w:val="nil"/>
              <w:left w:val="nil"/>
              <w:bottom w:val="nil"/>
              <w:right w:val="nil"/>
            </w:tcBorders>
            <w:tcMar>
              <w:left w:w="115" w:type="dxa"/>
              <w:right w:w="115" w:type="dxa"/>
            </w:tcMar>
          </w:tcPr>
          <w:p w:rsidR="00CB6BC7" w:rsidRPr="002F0657" w:rsidRDefault="00CB6BC7" w:rsidP="00D6641A">
            <w:pPr>
              <w:pStyle w:val="Body"/>
              <w:spacing w:before="0"/>
            </w:pPr>
            <w:r w:rsidRPr="002F0657">
              <w:t>Standardized Spanish HEDIS translations of mail materials are available for use during survey administration. Spanish CATI scripts are not available, but the survey vendor may produce them for use during telephone interviewing.</w:t>
            </w:r>
          </w:p>
          <w:p w:rsidR="00CB6BC7" w:rsidRPr="002F0657" w:rsidRDefault="00CB6BC7" w:rsidP="00D53140">
            <w:pPr>
              <w:pStyle w:val="Body"/>
            </w:pPr>
            <w:r w:rsidRPr="002F0657">
              <w:t>Annually, in consultation with the health plan, the survey vendor decides how the Spanish questionnaires will be incorporated into the data collection protocol and submits the proposed methodology to NCQA in writing. After it approves the methodology, NCQA forwards the standardized HEDIS translations to the vendor.</w:t>
            </w:r>
          </w:p>
        </w:tc>
      </w:tr>
    </w:tbl>
    <w:p w:rsidR="00CB6BC7" w:rsidRPr="002F0657" w:rsidRDefault="00CB6BC7" w:rsidP="00CB6BC7">
      <w:pPr>
        <w:pStyle w:val="StdHead"/>
        <w:rPr>
          <w:color w:val="auto"/>
        </w:rPr>
      </w:pPr>
      <w:r w:rsidRPr="002F0657">
        <w:rPr>
          <w:color w:val="auto"/>
        </w:rPr>
        <w:t>Supplemental Questions Option</w:t>
      </w:r>
    </w:p>
    <w:p w:rsidR="00CB6BC7" w:rsidRPr="002F0657" w:rsidRDefault="00CB6BC7" w:rsidP="00CB6BC7">
      <w:pPr>
        <w:pStyle w:val="Body"/>
      </w:pPr>
      <w:r w:rsidRPr="002F0657">
        <w:t>Health plans may add supplemental questions with prior NCQA approval. NCQA requires prior approval and imposes a 20-question limit on supplemental questions:</w:t>
      </w:r>
    </w:p>
    <w:p w:rsidR="00CB6BC7" w:rsidRPr="002F0657" w:rsidRDefault="00CB6BC7" w:rsidP="00CB6BC7">
      <w:pPr>
        <w:pStyle w:val="Bullet"/>
      </w:pPr>
      <w:r w:rsidRPr="002F0657">
        <w:t>To minimize burden on the respondent</w:t>
      </w:r>
      <w:r w:rsidR="002F0657">
        <w:t>.</w:t>
      </w:r>
    </w:p>
    <w:p w:rsidR="00CB6BC7" w:rsidRPr="002F0657" w:rsidRDefault="00CB6BC7" w:rsidP="00CB6BC7">
      <w:pPr>
        <w:pStyle w:val="Bullet"/>
      </w:pPr>
      <w:r w:rsidRPr="002F0657">
        <w:t>To prevent the possibility that the member’s responses to the CAHPS questions are affected by the supplemental questions</w:t>
      </w:r>
      <w:r w:rsidR="002F0657">
        <w:t>.</w:t>
      </w:r>
    </w:p>
    <w:p w:rsidR="00CB6BC7" w:rsidRPr="002F0657" w:rsidRDefault="00CB6BC7" w:rsidP="00CB6BC7">
      <w:pPr>
        <w:pStyle w:val="Bullet"/>
      </w:pPr>
      <w:r w:rsidRPr="002F0657">
        <w:t>To prevent a high nonresponse rate to the survey due to the presence of supplemental questions</w:t>
      </w:r>
      <w:r w:rsidR="002F0657">
        <w:t>.</w:t>
      </w:r>
    </w:p>
    <w:p w:rsidR="00CB6BC7" w:rsidRPr="002F0657" w:rsidRDefault="00CB6BC7" w:rsidP="00CB6BC7">
      <w:pPr>
        <w:pStyle w:val="Bullet"/>
      </w:pPr>
      <w:r w:rsidRPr="002F0657">
        <w:t>To maintain a level of standardization necessary for results to be considered HEDIS/CAHPS</w:t>
      </w:r>
      <w:r w:rsidRPr="002F0657" w:rsidDel="00072996">
        <w:t xml:space="preserve"> </w:t>
      </w:r>
      <w:r w:rsidRPr="002F0657">
        <w:t>survey results and appropriate for plan-to-plan comparison.</w:t>
      </w:r>
    </w:p>
    <w:p w:rsidR="00CB6BC7" w:rsidRPr="002F0657" w:rsidRDefault="00CB6BC7" w:rsidP="00CB6BC7">
      <w:pPr>
        <w:pStyle w:val="Body"/>
      </w:pPr>
      <w:r w:rsidRPr="002F0657">
        <w:t xml:space="preserve">Survey vendors are not permitted to renumber the core CAHPS survey questions. If the health plan intends to add a supplemental question, for example, after Q12 of the adult commercial survey, the supplemental question is numbered “12a.” </w:t>
      </w:r>
    </w:p>
    <w:p w:rsidR="00CB6BC7" w:rsidRPr="002F0657" w:rsidRDefault="00CB6BC7" w:rsidP="00CB6BC7">
      <w:pPr>
        <w:pStyle w:val="Body"/>
      </w:pPr>
      <w:r w:rsidRPr="002F0657">
        <w:t>A health plan that uses the mixed methodology protocol may limit supplemental questions to one mode of data collection. For example, the plan may opt to ask supplemental questions on the mail questionnaire and not during CATI interviewing (or vice versa). Data collected through supplemental questions are excluded from the member-level data file that the survey vendor submits to NCQA.</w:t>
      </w:r>
    </w:p>
    <w:p w:rsidR="00CB6BC7" w:rsidRPr="002F0657" w:rsidRDefault="00CB6BC7" w:rsidP="00D6641A">
      <w:pPr>
        <w:pStyle w:val="StdHead"/>
        <w:rPr>
          <w:color w:val="auto"/>
        </w:rPr>
      </w:pPr>
      <w:r w:rsidRPr="002F0657">
        <w:rPr>
          <w:color w:val="auto"/>
        </w:rPr>
        <w:t>Supplemental Question Review Process</w:t>
      </w:r>
    </w:p>
    <w:p w:rsidR="00CB6BC7" w:rsidRPr="002F0657" w:rsidRDefault="00CB6BC7" w:rsidP="00FE292D">
      <w:pPr>
        <w:pStyle w:val="Body"/>
        <w:tabs>
          <w:tab w:val="left" w:pos="1980"/>
          <w:tab w:val="left" w:pos="2160"/>
        </w:tabs>
      </w:pPr>
      <w:r w:rsidRPr="002F0657">
        <w:t xml:space="preserve">Supplemental questions must be approved by NCQA prior to survey administration. The health plan or survey vendor must submit supplemental questions not previously approved by NCQA in writing to NCQA for approval. Approved questions do not require reapproval in subsequent years. NCQA reviews </w:t>
      </w:r>
      <w:r w:rsidRPr="002F0657">
        <w:rPr>
          <w:i/>
        </w:rPr>
        <w:t>new</w:t>
      </w:r>
      <w:r w:rsidRPr="002F0657">
        <w:t xml:space="preserve"> supplemental questions and responds to health plans or survey vendors within five working days. NCQA evaluates each supplemental question against the following criteria.</w:t>
      </w:r>
    </w:p>
    <w:p w:rsidR="00CB6BC7" w:rsidRPr="002F0657" w:rsidRDefault="00CB6BC7" w:rsidP="00CB6BC7">
      <w:pPr>
        <w:pStyle w:val="Body"/>
      </w:pPr>
      <w:r w:rsidRPr="002F0657">
        <w:rPr>
          <w:b/>
        </w:rPr>
        <w:t xml:space="preserve">Is the supplemental question consistent with the </w:t>
      </w:r>
      <w:r w:rsidRPr="002F0657">
        <w:rPr>
          <w:b/>
          <w:i/>
        </w:rPr>
        <w:t>key principles</w:t>
      </w:r>
      <w:r w:rsidRPr="002F0657">
        <w:rPr>
          <w:b/>
        </w:rPr>
        <w:t xml:space="preserve"> of CAHPS survey questions?</w:t>
      </w:r>
      <w:r w:rsidRPr="002F0657">
        <w:t xml:space="preserve"> </w:t>
      </w:r>
    </w:p>
    <w:p w:rsidR="00CB6BC7" w:rsidRPr="002F0657" w:rsidRDefault="00CB6BC7" w:rsidP="00CB6BC7">
      <w:pPr>
        <w:pStyle w:val="Bullet"/>
      </w:pPr>
      <w:r w:rsidRPr="002F0657">
        <w:t>Questions are as specific as possible</w:t>
      </w:r>
      <w:r w:rsidR="002F0657">
        <w:t>.</w:t>
      </w:r>
    </w:p>
    <w:p w:rsidR="00CB6BC7" w:rsidRPr="002F0657" w:rsidRDefault="00CB6BC7" w:rsidP="00CB6BC7">
      <w:pPr>
        <w:pStyle w:val="Bullet"/>
      </w:pPr>
      <w:r w:rsidRPr="002F0657">
        <w:t>Questions minimize wordiness, complexity and technical jargon</w:t>
      </w:r>
      <w:r w:rsidR="002F0657">
        <w:t>.</w:t>
      </w:r>
    </w:p>
    <w:p w:rsidR="00CB6BC7" w:rsidRPr="002F0657" w:rsidRDefault="00CB6BC7" w:rsidP="00CB6BC7">
      <w:pPr>
        <w:pStyle w:val="Bullet"/>
      </w:pPr>
      <w:r w:rsidRPr="002F0657">
        <w:t>Response options match the question wording in a way that reflects respondent experiences</w:t>
      </w:r>
      <w:r w:rsidR="002F0657">
        <w:t>.</w:t>
      </w:r>
    </w:p>
    <w:p w:rsidR="00CB6BC7" w:rsidRPr="002F0657" w:rsidRDefault="00CB6BC7" w:rsidP="00CB6BC7">
      <w:pPr>
        <w:pStyle w:val="Bullet"/>
      </w:pPr>
      <w:r w:rsidRPr="002F0657">
        <w:t>Questions are neutral and do not lead the respondent to a particular response choice</w:t>
      </w:r>
      <w:r w:rsidR="002F0657">
        <w:t>.</w:t>
      </w:r>
    </w:p>
    <w:p w:rsidR="00CB6BC7" w:rsidRPr="002F0657" w:rsidRDefault="00CB6BC7" w:rsidP="00CB6BC7">
      <w:pPr>
        <w:pStyle w:val="Bullet"/>
      </w:pPr>
      <w:r w:rsidRPr="002F0657">
        <w:t>Questions do not rely on grids or matrices (several questions with the same introduction listed vertically with the introduction to the question, or stem, used only once), since respondents frequently forget the question’s stem and reference period after the first few items</w:t>
      </w:r>
      <w:r w:rsidR="00EC7F8A">
        <w:t>.</w:t>
      </w:r>
    </w:p>
    <w:p w:rsidR="00CB6BC7" w:rsidRPr="00E11409" w:rsidRDefault="00CB6BC7" w:rsidP="00CB6BC7">
      <w:pPr>
        <w:pStyle w:val="Body"/>
      </w:pPr>
      <w:r w:rsidRPr="002F0657">
        <w:rPr>
          <w:b/>
        </w:rPr>
        <w:t xml:space="preserve">Is the question worded as consistently as possible with CAHPS survey questions? </w:t>
      </w:r>
      <w:r w:rsidRPr="002F0657">
        <w:t>For example, does the question begin “In the last 12 months,” as opposed to “Over the last 12 months” or “In the past 12 months”?</w:t>
      </w:r>
    </w:p>
    <w:p w:rsidR="00CB6BC7" w:rsidRPr="002F0657" w:rsidRDefault="00CB6BC7" w:rsidP="00FD095A">
      <w:pPr>
        <w:pStyle w:val="Body"/>
        <w:spacing w:before="0"/>
        <w:rPr>
          <w:b/>
        </w:rPr>
      </w:pPr>
      <w:r w:rsidRPr="002F0657">
        <w:rPr>
          <w:b/>
        </w:rPr>
        <w:t xml:space="preserve">Are the response options as consistent as possible with CAHPS response choices? </w:t>
      </w:r>
      <w:r w:rsidRPr="002F0657">
        <w:t>For example, are response options written in the first-person voice? Are response options in the same order as the CAHPS response choices?</w:t>
      </w:r>
    </w:p>
    <w:p w:rsidR="00CB6BC7" w:rsidRPr="002F0657" w:rsidRDefault="00CB6BC7" w:rsidP="00CB6BC7">
      <w:pPr>
        <w:pStyle w:val="Body"/>
      </w:pPr>
      <w:r w:rsidRPr="002F0657">
        <w:rPr>
          <w:b/>
        </w:rPr>
        <w:t xml:space="preserve">Does the question have the potential to offend a member, resulting in termination of the survey? </w:t>
      </w:r>
      <w:r w:rsidRPr="002F0657">
        <w:t>For example, does the question address overly sensitive material, or is it worded in an offensive or negative manner?</w:t>
      </w:r>
    </w:p>
    <w:p w:rsidR="00CB6BC7" w:rsidRPr="002F0657" w:rsidRDefault="00CB6BC7" w:rsidP="00CB6BC7">
      <w:pPr>
        <w:pStyle w:val="Body"/>
        <w:rPr>
          <w:b/>
        </w:rPr>
      </w:pPr>
      <w:r w:rsidRPr="002F0657">
        <w:rPr>
          <w:b/>
        </w:rPr>
        <w:t xml:space="preserve">Does the question collect information that would jeopardize the member’s confidentiality? </w:t>
      </w:r>
      <w:r w:rsidRPr="002F0657">
        <w:t>For example, does the question ask for the member’s zip code or e-mail address? Does the question ask members to name their provider?</w:t>
      </w:r>
    </w:p>
    <w:p w:rsidR="00CB6BC7" w:rsidRPr="002F0657" w:rsidRDefault="00CB6BC7" w:rsidP="00CB6BC7">
      <w:pPr>
        <w:pStyle w:val="Body"/>
      </w:pPr>
      <w:r w:rsidRPr="002F0657">
        <w:rPr>
          <w:b/>
        </w:rPr>
        <w:t xml:space="preserve">Does the question focus on marketing? </w:t>
      </w:r>
      <w:r w:rsidRPr="002F0657">
        <w:t>For example, does the question ask members to list names of the health plan’s competitors?</w:t>
      </w:r>
    </w:p>
    <w:p w:rsidR="00CB6BC7" w:rsidRPr="002F0657" w:rsidRDefault="00CB6BC7" w:rsidP="00CB6BC7">
      <w:pPr>
        <w:pStyle w:val="Body"/>
      </w:pPr>
      <w:r w:rsidRPr="002F0657">
        <w:t>In general, NCQA approves any question from the HEDIS 3.0 1998 Member Satisfaction Survey, from previous versions of the CAHPS survey or from the CAHPS supplemental question sets. If a proposed supplemental question fails to meet one or more criteria listed above, NCQA may not approve the question or may require the health plan or survey vendor to place the question at the end of the CAHPS survey. NCQA works with the health plan or survey vendor to modify supplemental questions to meet the criteria listed above.</w:t>
      </w:r>
    </w:p>
    <w:p w:rsidR="00D6641A" w:rsidRPr="002F0657" w:rsidRDefault="00CB6BC7" w:rsidP="00CB6BC7">
      <w:pPr>
        <w:pStyle w:val="Body"/>
        <w:rPr>
          <w:i/>
        </w:rPr>
      </w:pPr>
      <w:r w:rsidRPr="002F0657">
        <w:rPr>
          <w:b/>
          <w:i/>
        </w:rPr>
        <w:t>Note:</w:t>
      </w:r>
      <w:r w:rsidRPr="002F0657">
        <w:rPr>
          <w:i/>
        </w:rPr>
        <w:t xml:space="preserve"> The health plan and survey vendor determine question placement, but NCQA may approve supplemental questions contingent on placement at the end of the CAHPS survey</w:t>
      </w:r>
      <w:r w:rsidR="00D6641A" w:rsidRPr="002F0657">
        <w:rPr>
          <w:i/>
        </w:rPr>
        <w:t>.</w:t>
      </w:r>
    </w:p>
    <w:p w:rsidR="00CB6BC7" w:rsidRPr="002F0657" w:rsidRDefault="00CB6BC7" w:rsidP="00D6641A">
      <w:pPr>
        <w:pStyle w:val="StdHead"/>
        <w:rPr>
          <w:color w:val="auto"/>
        </w:rPr>
      </w:pPr>
      <w:r w:rsidRPr="002F0657">
        <w:rPr>
          <w:color w:val="auto"/>
        </w:rPr>
        <w:t>Data Coding and Disposition Codes</w:t>
      </w:r>
    </w:p>
    <w:p w:rsidR="00CB6BC7" w:rsidRPr="002F0657" w:rsidRDefault="00CB6BC7" w:rsidP="00CB6BC7">
      <w:pPr>
        <w:pStyle w:val="Body"/>
      </w:pPr>
      <w:r w:rsidRPr="002F0657">
        <w:t xml:space="preserve">Using the confidential tracking number, the survey vendor assigns each member in the sample a disposition code used to track and report whether the member has returned a questionnaire or needs a repeat mailing or telephone follow-up. Typically, disposition codes are either interim (to indicate the status of each member in the sample during the data collection period) or final (to document the outcome of each member’s response at the end of data collection). </w:t>
      </w:r>
    </w:p>
    <w:p w:rsidR="00CB6BC7" w:rsidRPr="002F0657" w:rsidRDefault="00CB6BC7" w:rsidP="00CB6BC7">
      <w:pPr>
        <w:pStyle w:val="Body"/>
      </w:pPr>
      <w:r w:rsidRPr="002F0657">
        <w:t>Maintaining up-to-date disposition codes is especially important because the codes allow the survey vendor to calculate and report the response rate and project the number of completed questionnaires at any time during the data collection period. After data collection is completed, the survey vendor assigns each member one of the following final disp</w:t>
      </w:r>
      <w:r w:rsidR="002F0657">
        <w:t>osition codes to report to NCQA:</w:t>
      </w:r>
    </w:p>
    <w:p w:rsidR="00CB6BC7" w:rsidRPr="002F0657" w:rsidRDefault="00CB6BC7" w:rsidP="00CB6BC7">
      <w:pPr>
        <w:pStyle w:val="Bullet"/>
      </w:pPr>
      <w:r w:rsidRPr="002F0657">
        <w:t>Complete and Valid Survey</w:t>
      </w:r>
      <w:r w:rsidR="002F0657">
        <w:t>.</w:t>
      </w:r>
    </w:p>
    <w:p w:rsidR="00CB6BC7" w:rsidRPr="002F0657" w:rsidRDefault="00CB6BC7" w:rsidP="00CB6BC7">
      <w:pPr>
        <w:pStyle w:val="Bullet"/>
      </w:pPr>
      <w:r w:rsidRPr="002F0657">
        <w:t>Ineligible: Deceased</w:t>
      </w:r>
      <w:r w:rsidR="002F0657">
        <w:t>.</w:t>
      </w:r>
    </w:p>
    <w:p w:rsidR="00CB6BC7" w:rsidRPr="002F0657" w:rsidRDefault="00CB6BC7" w:rsidP="00CB6BC7">
      <w:pPr>
        <w:pStyle w:val="Bullet"/>
      </w:pPr>
      <w:r w:rsidRPr="002F0657">
        <w:t xml:space="preserve">Ineligible: Does not meet </w:t>
      </w:r>
      <w:r w:rsidR="002F0657" w:rsidRPr="002F0657">
        <w:t>eligible population</w:t>
      </w:r>
      <w:r w:rsidRPr="002F0657">
        <w:t xml:space="preserve"> criteria</w:t>
      </w:r>
      <w:r w:rsidR="002F0657">
        <w:t>.</w:t>
      </w:r>
    </w:p>
    <w:p w:rsidR="00CB6BC7" w:rsidRPr="002F0657" w:rsidRDefault="00CB6BC7" w:rsidP="00CB6BC7">
      <w:pPr>
        <w:pStyle w:val="Bullet"/>
      </w:pPr>
      <w:r w:rsidRPr="002F0657">
        <w:t>Ineligible: Language barrier</w:t>
      </w:r>
      <w:r w:rsidR="002F0657">
        <w:t>.</w:t>
      </w:r>
    </w:p>
    <w:p w:rsidR="00CB6BC7" w:rsidRPr="002F0657" w:rsidRDefault="00CB6BC7" w:rsidP="00CB6BC7">
      <w:pPr>
        <w:pStyle w:val="Bullet"/>
      </w:pPr>
      <w:r w:rsidRPr="002F0657">
        <w:t>Ineligible: Mentally or physically incapacitated</w:t>
      </w:r>
      <w:r w:rsidR="002F0657">
        <w:t>.</w:t>
      </w:r>
    </w:p>
    <w:p w:rsidR="00CB6BC7" w:rsidRPr="002F0657" w:rsidRDefault="00CB6BC7" w:rsidP="00CB6BC7">
      <w:pPr>
        <w:pStyle w:val="Bullet"/>
      </w:pPr>
      <w:r w:rsidRPr="002F0657">
        <w:t>Nonresponse: Refusal</w:t>
      </w:r>
      <w:r w:rsidR="002F0657">
        <w:t>.</w:t>
      </w:r>
    </w:p>
    <w:p w:rsidR="00CB6BC7" w:rsidRPr="002F0657" w:rsidRDefault="00CB6BC7" w:rsidP="00CB6BC7">
      <w:pPr>
        <w:pStyle w:val="Bullet"/>
      </w:pPr>
      <w:r w:rsidRPr="002F0657">
        <w:t>Nonresponse: After maximum attempts</w:t>
      </w:r>
      <w:r w:rsidR="002F0657">
        <w:t>.</w:t>
      </w:r>
    </w:p>
    <w:p w:rsidR="00CB6BC7" w:rsidRPr="002F0657" w:rsidRDefault="00CB6BC7" w:rsidP="00CB6BC7">
      <w:pPr>
        <w:pStyle w:val="Bullet"/>
      </w:pPr>
      <w:r w:rsidRPr="002F0657">
        <w:t>Nonresponse: Bad address</w:t>
      </w:r>
      <w:r w:rsidR="002F0657">
        <w:t>.</w:t>
      </w:r>
    </w:p>
    <w:p w:rsidR="00CB6BC7" w:rsidRPr="002F0657" w:rsidRDefault="00CB6BC7" w:rsidP="00CB6BC7">
      <w:pPr>
        <w:pStyle w:val="Bullet"/>
      </w:pPr>
      <w:r w:rsidRPr="002F0657">
        <w:t xml:space="preserve">Nonresponse: Bad address </w:t>
      </w:r>
      <w:r w:rsidRPr="002F0657">
        <w:rPr>
          <w:i/>
        </w:rPr>
        <w:t>and</w:t>
      </w:r>
      <w:r w:rsidRPr="002F0657">
        <w:t xml:space="preserve"> nonworking/unlisted phone number or member is unknown at the dialed phone number</w:t>
      </w:r>
      <w:r w:rsidR="002F0657">
        <w:t>.</w:t>
      </w:r>
    </w:p>
    <w:p w:rsidR="00D6641A" w:rsidRPr="002F0657" w:rsidRDefault="00CB6BC7" w:rsidP="00CB6BC7">
      <w:pPr>
        <w:pStyle w:val="Note"/>
        <w:sectPr w:rsidR="00D6641A" w:rsidRPr="002F0657" w:rsidSect="003C7BFE">
          <w:pgSz w:w="12240" w:h="15840" w:code="1"/>
          <w:pgMar w:top="1080" w:right="1080" w:bottom="1080" w:left="1440" w:header="720" w:footer="720" w:gutter="0"/>
          <w:cols w:space="720"/>
        </w:sectPr>
      </w:pPr>
      <w:r w:rsidRPr="002F0657">
        <w:rPr>
          <w:b/>
        </w:rPr>
        <w:t xml:space="preserve">Note: </w:t>
      </w:r>
      <w:r w:rsidRPr="002F0657">
        <w:rPr>
          <w:iCs/>
        </w:rPr>
        <w:t>The disposition code</w:t>
      </w:r>
      <w:r w:rsidRPr="002F0657">
        <w:rPr>
          <w:i w:val="0"/>
          <w:iCs/>
        </w:rPr>
        <w:t xml:space="preserve"> </w:t>
      </w:r>
      <w:r w:rsidRPr="002F0657">
        <w:rPr>
          <w:i w:val="0"/>
        </w:rPr>
        <w:t>Ineligible: Mentally or physically incapacitated</w:t>
      </w:r>
      <w:r w:rsidRPr="002F0657">
        <w:t xml:space="preserve"> is only valid for adult surveys; it is not valid for child surveys.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05"/>
        <w:gridCol w:w="7895"/>
      </w:tblGrid>
      <w:tr w:rsidR="00CB6BC7" w:rsidRPr="002F0657" w:rsidTr="00D53140">
        <w:trPr>
          <w:cantSplit/>
        </w:trPr>
        <w:tc>
          <w:tcPr>
            <w:tcW w:w="2005" w:type="dxa"/>
            <w:tcBorders>
              <w:top w:val="nil"/>
              <w:left w:val="nil"/>
              <w:bottom w:val="nil"/>
              <w:right w:val="nil"/>
            </w:tcBorders>
            <w:tcMar>
              <w:left w:w="115" w:type="dxa"/>
              <w:right w:w="115" w:type="dxa"/>
            </w:tcMar>
          </w:tcPr>
          <w:p w:rsidR="00CB6BC7" w:rsidRPr="002F0657" w:rsidRDefault="00CB6BC7" w:rsidP="00D6641A">
            <w:pPr>
              <w:pStyle w:val="MarginSubhead"/>
              <w:spacing w:before="0"/>
            </w:pPr>
            <w:r w:rsidRPr="002F0657">
              <w:t>Complete and Valid Survey</w:t>
            </w:r>
          </w:p>
        </w:tc>
        <w:tc>
          <w:tcPr>
            <w:tcW w:w="7895" w:type="dxa"/>
            <w:tcBorders>
              <w:top w:val="nil"/>
              <w:left w:val="nil"/>
              <w:bottom w:val="nil"/>
              <w:right w:val="nil"/>
            </w:tcBorders>
            <w:tcMar>
              <w:left w:w="115" w:type="dxa"/>
              <w:right w:w="115" w:type="dxa"/>
            </w:tcMar>
          </w:tcPr>
          <w:p w:rsidR="00CB6BC7" w:rsidRPr="002F0657" w:rsidRDefault="00CB6BC7" w:rsidP="00D6641A">
            <w:pPr>
              <w:pStyle w:val="Body"/>
              <w:spacing w:before="0"/>
            </w:pPr>
            <w:r w:rsidRPr="002F0657">
              <w:t>The survey vendor assigns a member a disposition code of Complete and Valid Survey when t</w:t>
            </w:r>
            <w:r w:rsidR="002F0657">
              <w:t>he following conditions are met:</w:t>
            </w:r>
          </w:p>
          <w:p w:rsidR="00CB6BC7" w:rsidRPr="002F0657" w:rsidRDefault="00CB6BC7" w:rsidP="00D53140">
            <w:pPr>
              <w:pStyle w:val="Bullet"/>
            </w:pPr>
            <w:r w:rsidRPr="002F0657">
              <w:t>At least one survey question is answered</w:t>
            </w:r>
            <w:r w:rsidR="002F0657">
              <w:t>.</w:t>
            </w:r>
          </w:p>
          <w:p w:rsidR="00CB6BC7" w:rsidRPr="002F0657" w:rsidRDefault="00CB6BC7" w:rsidP="00D53140">
            <w:pPr>
              <w:pStyle w:val="Bullet"/>
            </w:pPr>
            <w:r w:rsidRPr="002F0657">
              <w:t>Responses indicate that the member meets the eligible population criteria</w:t>
            </w:r>
            <w:r w:rsidR="002F0657">
              <w:t>.</w:t>
            </w:r>
          </w:p>
        </w:tc>
      </w:tr>
    </w:tbl>
    <w:p w:rsidR="00CB6BC7" w:rsidRPr="002F0657" w:rsidRDefault="00CB6BC7" w:rsidP="00CB6BC7">
      <w:pPr>
        <w:pStyle w:val="Body"/>
        <w:spacing w:before="240"/>
      </w:pPr>
      <w:r w:rsidRPr="002F0657">
        <w:t>To maximize the amount of survey data collected, the health plan may arrange for the survey vendor to recontact members with missing responses.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05"/>
        <w:gridCol w:w="7895"/>
      </w:tblGrid>
      <w:tr w:rsidR="00CB6BC7" w:rsidRPr="002F0657" w:rsidTr="00D53140">
        <w:tc>
          <w:tcPr>
            <w:tcW w:w="2005" w:type="dxa"/>
            <w:tcBorders>
              <w:top w:val="nil"/>
              <w:left w:val="nil"/>
              <w:bottom w:val="nil"/>
              <w:right w:val="nil"/>
            </w:tcBorders>
            <w:tcMar>
              <w:left w:w="115" w:type="dxa"/>
              <w:right w:w="115" w:type="dxa"/>
            </w:tcMar>
          </w:tcPr>
          <w:p w:rsidR="00CB6BC7" w:rsidRPr="002F0657" w:rsidRDefault="00CB6BC7" w:rsidP="00D53140">
            <w:pPr>
              <w:pStyle w:val="MarginSubhead"/>
            </w:pPr>
            <w:r w:rsidRPr="002F0657">
              <w:t>Total survey response rates</w:t>
            </w:r>
          </w:p>
        </w:tc>
        <w:tc>
          <w:tcPr>
            <w:tcW w:w="7895" w:type="dxa"/>
            <w:tcBorders>
              <w:top w:val="nil"/>
              <w:left w:val="nil"/>
              <w:bottom w:val="nil"/>
              <w:right w:val="nil"/>
            </w:tcBorders>
            <w:tcMar>
              <w:left w:w="115" w:type="dxa"/>
              <w:right w:w="115" w:type="dxa"/>
            </w:tcMar>
          </w:tcPr>
          <w:p w:rsidR="00CB6BC7" w:rsidRPr="002F0657" w:rsidRDefault="00CB6BC7" w:rsidP="00D53140">
            <w:pPr>
              <w:pStyle w:val="Body"/>
            </w:pPr>
            <w:r w:rsidRPr="002F0657">
              <w:t xml:space="preserve">The survey vendor calculates and reports a total survey response rate for each sample. The </w:t>
            </w:r>
            <w:r w:rsidRPr="002F0657">
              <w:rPr>
                <w:b/>
              </w:rPr>
              <w:t>response rate</w:t>
            </w:r>
            <w:r w:rsidRPr="002F0657">
              <w:t xml:space="preserve"> is the total number of completed surveys divided by all eligible members of the sample. </w:t>
            </w:r>
            <w:r w:rsidRPr="002F0657">
              <w:rPr>
                <w:b/>
              </w:rPr>
              <w:t>Eligible members</w:t>
            </w:r>
            <w:r w:rsidRPr="002F0657">
              <w:t xml:space="preserve"> are the entire random sample (including any oversample) minus members assigned a disposition code of “Ineligible.” The total survey response rate is calculated as follows.</w:t>
            </w:r>
          </w:p>
        </w:tc>
      </w:tr>
    </w:tbl>
    <w:p w:rsidR="00CB6BC7" w:rsidRPr="002F0657" w:rsidRDefault="00CB6BC7" w:rsidP="00CB6BC7">
      <w:pPr>
        <w:pBdr>
          <w:bottom w:val="single" w:sz="4" w:space="8" w:color="auto"/>
        </w:pBdr>
        <w:spacing w:before="180" w:after="120"/>
        <w:jc w:val="center"/>
        <w:rPr>
          <w:rFonts w:cs="Arial"/>
          <w:szCs w:val="20"/>
        </w:rPr>
      </w:pPr>
      <w:r w:rsidRPr="002F0657">
        <w:rPr>
          <w:rFonts w:cs="Arial"/>
          <w:szCs w:val="20"/>
        </w:rPr>
        <w:t>Complete and Valid Surveys</w:t>
      </w:r>
    </w:p>
    <w:p w:rsidR="00CB6BC7" w:rsidRPr="002F0657" w:rsidRDefault="00CB6BC7" w:rsidP="00CB6BC7">
      <w:pPr>
        <w:pStyle w:val="Body"/>
        <w:spacing w:before="120"/>
        <w:jc w:val="center"/>
      </w:pPr>
      <w:r w:rsidRPr="002F0657">
        <w:t>Entire random sample –</w:t>
      </w:r>
      <w:r w:rsidRPr="002F0657">
        <w:rPr>
          <w:b/>
        </w:rPr>
        <w:t xml:space="preserve"> </w:t>
      </w:r>
      <w:r w:rsidRPr="002F0657">
        <w:t xml:space="preserve">[Ineligible: Deceased </w:t>
      </w:r>
      <w:r w:rsidRPr="002F0657">
        <w:rPr>
          <w:szCs w:val="20"/>
        </w:rPr>
        <w:t>+</w:t>
      </w:r>
      <w:r w:rsidRPr="002F0657">
        <w:t xml:space="preserve"> Ineligible: Does not meet </w:t>
      </w:r>
      <w:r w:rsidRPr="002F0657">
        <w:rPr>
          <w:i/>
        </w:rPr>
        <w:t>Eligible</w:t>
      </w:r>
      <w:r w:rsidRPr="002F0657">
        <w:t xml:space="preserve"> </w:t>
      </w:r>
      <w:r w:rsidRPr="002F0657">
        <w:rPr>
          <w:i/>
        </w:rPr>
        <w:t>Population</w:t>
      </w:r>
      <w:r w:rsidRPr="002F0657">
        <w:t xml:space="preserve"> criteria</w:t>
      </w:r>
      <w:r w:rsidRPr="002F0657">
        <w:br/>
        <w:t>+ Ineligible: Language barrier + Ineligible: Mentally or physically incapacitated]</w:t>
      </w:r>
    </w:p>
    <w:p w:rsidR="00D6641A" w:rsidRPr="002F0657" w:rsidRDefault="00CB6BC7" w:rsidP="00CB6BC7">
      <w:pPr>
        <w:pStyle w:val="Note"/>
      </w:pPr>
      <w:r w:rsidRPr="002F0657">
        <w:rPr>
          <w:b/>
        </w:rPr>
        <w:t xml:space="preserve">Note: </w:t>
      </w:r>
      <w:r w:rsidRPr="002F0657">
        <w:t xml:space="preserve">The disposition code </w:t>
      </w:r>
      <w:r w:rsidRPr="002F0657">
        <w:rPr>
          <w:i w:val="0"/>
        </w:rPr>
        <w:t xml:space="preserve">Ineligible: Mentally or physically incapacitated </w:t>
      </w:r>
      <w:r w:rsidRPr="002F0657">
        <w:t xml:space="preserve">is not valid for the CAHPS </w:t>
      </w:r>
      <w:r w:rsidR="004554D8" w:rsidRPr="002F0657">
        <w:t>5</w:t>
      </w:r>
      <w:r w:rsidRPr="002F0657">
        <w:t>.0H Child Survey; thus, the total survey response rate formula for the child survey does not include it</w:t>
      </w:r>
      <w:r w:rsidR="00D6641A" w:rsidRPr="002F0657">
        <w:t>.</w:t>
      </w:r>
    </w:p>
    <w:p w:rsidR="00CB6BC7" w:rsidRPr="002F0657" w:rsidRDefault="00CB6BC7" w:rsidP="00D6641A">
      <w:pPr>
        <w:pStyle w:val="StdHead"/>
        <w:rPr>
          <w:color w:val="auto"/>
        </w:rPr>
      </w:pPr>
      <w:r w:rsidRPr="002F0657">
        <w:rPr>
          <w:color w:val="auto"/>
        </w:rPr>
        <w:t>Data Elements for Reporting</w:t>
      </w:r>
    </w:p>
    <w:p w:rsidR="00CB6BC7" w:rsidRPr="002F0657" w:rsidRDefault="00CB6BC7" w:rsidP="00CB6BC7">
      <w:pPr>
        <w:pStyle w:val="Body"/>
      </w:pPr>
      <w:r w:rsidRPr="002F0657">
        <w:t>A health plan and survey vendor that submits HEDIS survey data to NCQA must provide the following data elements.</w:t>
      </w:r>
    </w:p>
    <w:p w:rsidR="00CB6BC7" w:rsidRPr="002F0657" w:rsidRDefault="00CB6BC7" w:rsidP="00CB6BC7">
      <w:pPr>
        <w:pStyle w:val="Heading3"/>
      </w:pPr>
      <w:r w:rsidRPr="002F0657">
        <w:t>Table S-5: Data Elements for HEDIS/CAHPS Surveys</w:t>
      </w:r>
    </w:p>
    <w:tbl>
      <w:tblPr>
        <w:tblW w:w="0" w:type="auto"/>
        <w:tblInd w:w="108" w:type="dxa"/>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7020"/>
      </w:tblGrid>
      <w:tr w:rsidR="00CB6BC7" w:rsidRPr="002F0657" w:rsidTr="009F6738">
        <w:trPr>
          <w:trHeight w:val="259"/>
        </w:trPr>
        <w:tc>
          <w:tcPr>
            <w:tcW w:w="7020" w:type="dxa"/>
            <w:shd w:val="clear" w:color="auto" w:fill="000000"/>
          </w:tcPr>
          <w:p w:rsidR="00CB6BC7" w:rsidRPr="002F0657" w:rsidRDefault="00CB6BC7" w:rsidP="00D53140">
            <w:pPr>
              <w:pStyle w:val="TableHead"/>
              <w:rPr>
                <w:color w:val="auto"/>
              </w:rPr>
            </w:pPr>
            <w:r w:rsidRPr="002F0657">
              <w:rPr>
                <w:color w:val="auto"/>
              </w:rPr>
              <w:t>Header Record</w:t>
            </w:r>
          </w:p>
        </w:tc>
      </w:tr>
      <w:tr w:rsidR="00CB6BC7" w:rsidRPr="002F0657" w:rsidTr="009F6738">
        <w:trPr>
          <w:cantSplit/>
        </w:trPr>
        <w:tc>
          <w:tcPr>
            <w:tcW w:w="7020" w:type="dxa"/>
          </w:tcPr>
          <w:p w:rsidR="00CB6BC7" w:rsidRPr="002F0657" w:rsidRDefault="00CB6BC7" w:rsidP="00D53140">
            <w:pPr>
              <w:pStyle w:val="TableText"/>
              <w:spacing w:before="30" w:after="30"/>
            </w:pPr>
            <w:r w:rsidRPr="002F0657">
              <w:t xml:space="preserve">Measurement year </w:t>
            </w:r>
          </w:p>
        </w:tc>
      </w:tr>
      <w:tr w:rsidR="00CB6BC7" w:rsidRPr="002F0657" w:rsidTr="009F6738">
        <w:trPr>
          <w:cantSplit/>
        </w:trPr>
        <w:tc>
          <w:tcPr>
            <w:tcW w:w="7020" w:type="dxa"/>
            <w:shd w:val="clear" w:color="auto" w:fill="D9D9D9"/>
          </w:tcPr>
          <w:p w:rsidR="00CB6BC7" w:rsidRPr="002F0657" w:rsidRDefault="00CB6BC7" w:rsidP="00D53140">
            <w:pPr>
              <w:pStyle w:val="TableText"/>
              <w:tabs>
                <w:tab w:val="left" w:pos="2502"/>
              </w:tabs>
              <w:spacing w:before="30" w:after="30"/>
            </w:pPr>
            <w:r w:rsidRPr="002F0657">
              <w:t>Data file type (adult member, child member)</w:t>
            </w:r>
          </w:p>
        </w:tc>
      </w:tr>
      <w:tr w:rsidR="00CB6BC7" w:rsidRPr="002F0657" w:rsidTr="009F6738">
        <w:trPr>
          <w:cantSplit/>
        </w:trPr>
        <w:tc>
          <w:tcPr>
            <w:tcW w:w="7020" w:type="dxa"/>
          </w:tcPr>
          <w:p w:rsidR="00CB6BC7" w:rsidRPr="002F0657" w:rsidRDefault="00CB6BC7" w:rsidP="00D53140">
            <w:pPr>
              <w:pStyle w:val="TableText"/>
              <w:spacing w:before="30" w:after="30"/>
            </w:pPr>
            <w:r w:rsidRPr="002F0657">
              <w:t>Health care organization ID</w:t>
            </w:r>
          </w:p>
        </w:tc>
      </w:tr>
      <w:tr w:rsidR="00CB6BC7" w:rsidRPr="002F0657" w:rsidTr="009F6738">
        <w:trPr>
          <w:cantSplit/>
        </w:trPr>
        <w:tc>
          <w:tcPr>
            <w:tcW w:w="7020" w:type="dxa"/>
            <w:shd w:val="clear" w:color="auto" w:fill="D9D9D9"/>
          </w:tcPr>
          <w:p w:rsidR="00CB6BC7" w:rsidRPr="002F0657" w:rsidRDefault="00CB6BC7" w:rsidP="00D53140">
            <w:pPr>
              <w:pStyle w:val="TableText"/>
              <w:tabs>
                <w:tab w:val="left" w:pos="2502"/>
              </w:tabs>
              <w:spacing w:before="30" w:after="30"/>
            </w:pPr>
            <w:r w:rsidRPr="002F0657">
              <w:t>Health care organization name</w:t>
            </w:r>
          </w:p>
        </w:tc>
      </w:tr>
      <w:tr w:rsidR="00CB6BC7" w:rsidRPr="002F0657" w:rsidTr="009F6738">
        <w:trPr>
          <w:cantSplit/>
        </w:trPr>
        <w:tc>
          <w:tcPr>
            <w:tcW w:w="7020" w:type="dxa"/>
          </w:tcPr>
          <w:p w:rsidR="00CB6BC7" w:rsidRPr="002F0657" w:rsidRDefault="00CB6BC7" w:rsidP="00D53140">
            <w:pPr>
              <w:pStyle w:val="TableText"/>
              <w:tabs>
                <w:tab w:val="left" w:pos="2502"/>
              </w:tabs>
              <w:spacing w:before="30" w:after="30"/>
            </w:pPr>
            <w:r w:rsidRPr="002F0657">
              <w:t>Product line (commercial, Medicaid)</w:t>
            </w:r>
          </w:p>
        </w:tc>
      </w:tr>
      <w:tr w:rsidR="00CB6BC7" w:rsidRPr="002F0657" w:rsidTr="009F6738">
        <w:trPr>
          <w:cantSplit/>
        </w:trPr>
        <w:tc>
          <w:tcPr>
            <w:tcW w:w="7020" w:type="dxa"/>
            <w:shd w:val="clear" w:color="auto" w:fill="D9D9D9"/>
          </w:tcPr>
          <w:p w:rsidR="00CB6BC7" w:rsidRPr="002F0657" w:rsidRDefault="00CB6BC7" w:rsidP="00D53140">
            <w:pPr>
              <w:pStyle w:val="TableText"/>
              <w:tabs>
                <w:tab w:val="left" w:pos="2502"/>
              </w:tabs>
              <w:spacing w:before="30" w:after="30"/>
            </w:pPr>
            <w:r w:rsidRPr="002F0657">
              <w:t>Product (HMO, POS, PPO, or combined products)</w:t>
            </w:r>
          </w:p>
        </w:tc>
      </w:tr>
      <w:tr w:rsidR="00CB6BC7" w:rsidRPr="002F0657" w:rsidTr="009F6738">
        <w:trPr>
          <w:cantSplit/>
        </w:trPr>
        <w:tc>
          <w:tcPr>
            <w:tcW w:w="7020" w:type="dxa"/>
          </w:tcPr>
          <w:p w:rsidR="00CB6BC7" w:rsidRPr="002F0657" w:rsidRDefault="00CB6BC7" w:rsidP="00D53140">
            <w:pPr>
              <w:pStyle w:val="TableText"/>
              <w:tabs>
                <w:tab w:val="left" w:pos="2502"/>
              </w:tabs>
              <w:spacing w:before="30" w:after="30"/>
            </w:pPr>
            <w:r w:rsidRPr="002F0657">
              <w:t>Submission ID</w:t>
            </w:r>
          </w:p>
        </w:tc>
      </w:tr>
      <w:tr w:rsidR="00CB6BC7" w:rsidRPr="002F0657" w:rsidTr="009F6738">
        <w:trPr>
          <w:cantSplit/>
        </w:trPr>
        <w:tc>
          <w:tcPr>
            <w:tcW w:w="7020" w:type="dxa"/>
            <w:shd w:val="clear" w:color="auto" w:fill="D9D9D9"/>
          </w:tcPr>
          <w:p w:rsidR="00CB6BC7" w:rsidRPr="002F0657" w:rsidRDefault="00CB6BC7" w:rsidP="00D53140">
            <w:pPr>
              <w:pStyle w:val="TableText"/>
              <w:tabs>
                <w:tab w:val="left" w:pos="2502"/>
              </w:tabs>
              <w:spacing w:before="30" w:after="30"/>
              <w:ind w:left="720" w:hanging="720"/>
            </w:pPr>
            <w:r w:rsidRPr="002F0657">
              <w:t>Survey protocol (mail-only methodology, mixed methodology, other)</w:t>
            </w:r>
          </w:p>
        </w:tc>
      </w:tr>
      <w:tr w:rsidR="00CB6BC7" w:rsidRPr="002F0657" w:rsidTr="009F6738">
        <w:trPr>
          <w:cantSplit/>
        </w:trPr>
        <w:tc>
          <w:tcPr>
            <w:tcW w:w="7020" w:type="dxa"/>
          </w:tcPr>
          <w:p w:rsidR="00CB6BC7" w:rsidRPr="002F0657" w:rsidRDefault="00CB6BC7" w:rsidP="00D53140">
            <w:pPr>
              <w:pStyle w:val="TableText"/>
              <w:tabs>
                <w:tab w:val="left" w:pos="2502"/>
              </w:tabs>
              <w:spacing w:before="30" w:after="30"/>
            </w:pPr>
            <w:r w:rsidRPr="002F0657">
              <w:t>Sample frame size</w:t>
            </w:r>
          </w:p>
        </w:tc>
      </w:tr>
      <w:tr w:rsidR="00CB6BC7" w:rsidRPr="002F0657" w:rsidTr="009F6738">
        <w:trPr>
          <w:cantSplit/>
        </w:trPr>
        <w:tc>
          <w:tcPr>
            <w:tcW w:w="7020" w:type="dxa"/>
            <w:shd w:val="clear" w:color="auto" w:fill="D9D9D9"/>
          </w:tcPr>
          <w:p w:rsidR="00CB6BC7" w:rsidRPr="002F0657" w:rsidRDefault="00CB6BC7" w:rsidP="00E11409">
            <w:pPr>
              <w:pStyle w:val="TableText"/>
              <w:tabs>
                <w:tab w:val="left" w:pos="2502"/>
              </w:tabs>
              <w:spacing w:before="30" w:after="30"/>
              <w:ind w:left="720" w:hanging="720"/>
            </w:pPr>
            <w:r w:rsidRPr="002F0657">
              <w:t>Eligible population size (members who meet all criteria)</w:t>
            </w:r>
          </w:p>
        </w:tc>
      </w:tr>
      <w:tr w:rsidR="00CB6BC7" w:rsidRPr="002F0657" w:rsidTr="009F6738">
        <w:trPr>
          <w:cantSplit/>
        </w:trPr>
        <w:tc>
          <w:tcPr>
            <w:tcW w:w="7020" w:type="dxa"/>
          </w:tcPr>
          <w:p w:rsidR="00CB6BC7" w:rsidRPr="002F0657" w:rsidRDefault="00CB6BC7" w:rsidP="00D53140">
            <w:pPr>
              <w:pStyle w:val="TableText"/>
              <w:tabs>
                <w:tab w:val="left" w:pos="2502"/>
              </w:tabs>
              <w:spacing w:before="30" w:after="30"/>
            </w:pPr>
            <w:r w:rsidRPr="002F0657">
              <w:t>Survey vendor organization name and contact information</w:t>
            </w:r>
          </w:p>
        </w:tc>
      </w:tr>
      <w:tr w:rsidR="00CB6BC7" w:rsidRPr="002F0657" w:rsidTr="009F6738">
        <w:trPr>
          <w:cantSplit/>
        </w:trPr>
        <w:tc>
          <w:tcPr>
            <w:tcW w:w="7020" w:type="dxa"/>
            <w:shd w:val="clear" w:color="auto" w:fill="D9D9D9"/>
          </w:tcPr>
          <w:p w:rsidR="00CB6BC7" w:rsidRPr="002F0657" w:rsidRDefault="00CB6BC7" w:rsidP="00D53140">
            <w:pPr>
              <w:pStyle w:val="TableText"/>
              <w:tabs>
                <w:tab w:val="left" w:pos="2502"/>
              </w:tabs>
              <w:spacing w:before="30" w:after="30"/>
              <w:ind w:left="720" w:hanging="720"/>
            </w:pPr>
            <w:r w:rsidRPr="002F0657">
              <w:t>Oversampling information (Did the health plan oversample? Oversampling rationale.)</w:t>
            </w:r>
          </w:p>
        </w:tc>
      </w:tr>
      <w:tr w:rsidR="00CB6BC7" w:rsidRPr="002F0657" w:rsidTr="009F6738">
        <w:trPr>
          <w:cantSplit/>
        </w:trPr>
        <w:tc>
          <w:tcPr>
            <w:tcW w:w="7020" w:type="dxa"/>
          </w:tcPr>
          <w:p w:rsidR="00CB6BC7" w:rsidRPr="002F0657" w:rsidRDefault="00CB6BC7" w:rsidP="00D53140">
            <w:pPr>
              <w:pStyle w:val="TableText"/>
              <w:tabs>
                <w:tab w:val="left" w:pos="2502"/>
              </w:tabs>
              <w:spacing w:before="30" w:after="30"/>
            </w:pPr>
            <w:r w:rsidRPr="002F0657">
              <w:t>Oversampling rate</w:t>
            </w:r>
          </w:p>
        </w:tc>
      </w:tr>
      <w:tr w:rsidR="00CB6BC7" w:rsidRPr="002F0657" w:rsidTr="009F6738">
        <w:trPr>
          <w:cantSplit/>
        </w:trPr>
        <w:tc>
          <w:tcPr>
            <w:tcW w:w="7020" w:type="dxa"/>
            <w:shd w:val="clear" w:color="auto" w:fill="D9D9D9"/>
          </w:tcPr>
          <w:p w:rsidR="00CB6BC7" w:rsidRPr="002F0657" w:rsidRDefault="00CB6BC7" w:rsidP="00D53140">
            <w:pPr>
              <w:pStyle w:val="TableText"/>
              <w:tabs>
                <w:tab w:val="left" w:pos="2502"/>
              </w:tabs>
              <w:spacing w:before="30" w:after="30"/>
              <w:ind w:left="720" w:hanging="720"/>
            </w:pPr>
            <w:r w:rsidRPr="002F0657">
              <w:t xml:space="preserve">Final sample size </w:t>
            </w:r>
          </w:p>
        </w:tc>
      </w:tr>
      <w:tr w:rsidR="00CB6BC7" w:rsidRPr="002F0657" w:rsidTr="009F6738">
        <w:trPr>
          <w:cantSplit/>
        </w:trPr>
        <w:tc>
          <w:tcPr>
            <w:tcW w:w="7020" w:type="dxa"/>
          </w:tcPr>
          <w:p w:rsidR="00CB6BC7" w:rsidRPr="002F0657" w:rsidRDefault="00CB6BC7" w:rsidP="00D53140">
            <w:pPr>
              <w:pStyle w:val="TableText"/>
              <w:tabs>
                <w:tab w:val="left" w:pos="2502"/>
              </w:tabs>
              <w:spacing w:before="30" w:after="30"/>
            </w:pPr>
            <w:r w:rsidRPr="002F0657">
              <w:t>Final sample size discrepancy flag (valid, not valid/rationale)</w:t>
            </w:r>
          </w:p>
        </w:tc>
      </w:tr>
      <w:tr w:rsidR="00CB6BC7" w:rsidRPr="002F0657" w:rsidTr="009F6738">
        <w:trPr>
          <w:cantSplit/>
        </w:trPr>
        <w:tc>
          <w:tcPr>
            <w:tcW w:w="7020" w:type="dxa"/>
            <w:shd w:val="clear" w:color="auto" w:fill="D9D9D9"/>
          </w:tcPr>
          <w:p w:rsidR="00CB6BC7" w:rsidRPr="002F0657" w:rsidRDefault="00CB6BC7" w:rsidP="00D53140">
            <w:pPr>
              <w:pStyle w:val="TableText"/>
              <w:tabs>
                <w:tab w:val="left" w:pos="2502"/>
              </w:tabs>
              <w:spacing w:before="30" w:after="30"/>
              <w:ind w:left="720" w:hanging="720"/>
            </w:pPr>
            <w:r w:rsidRPr="002F0657">
              <w:t>Total response rate</w:t>
            </w:r>
          </w:p>
        </w:tc>
      </w:tr>
      <w:tr w:rsidR="00CB6BC7" w:rsidRPr="002F0657" w:rsidTr="009F6738">
        <w:trPr>
          <w:cantSplit/>
        </w:trPr>
        <w:tc>
          <w:tcPr>
            <w:tcW w:w="7020" w:type="dxa"/>
          </w:tcPr>
          <w:p w:rsidR="00CB6BC7" w:rsidRPr="002F0657" w:rsidRDefault="00CB6BC7" w:rsidP="00D53140">
            <w:pPr>
              <w:pStyle w:val="TableText"/>
              <w:tabs>
                <w:tab w:val="left" w:pos="2502"/>
              </w:tabs>
              <w:spacing w:before="30" w:after="30"/>
            </w:pPr>
            <w:r w:rsidRPr="002F0657">
              <w:t>Flu Shots for Adults Ages 50–64 results included? (adult commercial only)</w:t>
            </w:r>
          </w:p>
        </w:tc>
      </w:tr>
      <w:tr w:rsidR="00CB6BC7" w:rsidRPr="002F0657" w:rsidTr="009F6738">
        <w:trPr>
          <w:cantSplit/>
        </w:trPr>
        <w:tc>
          <w:tcPr>
            <w:tcW w:w="7020" w:type="dxa"/>
            <w:tcBorders>
              <w:bottom w:val="single" w:sz="6" w:space="0" w:color="auto"/>
            </w:tcBorders>
            <w:shd w:val="clear" w:color="auto" w:fill="D9D9D9"/>
          </w:tcPr>
          <w:p w:rsidR="00CB6BC7" w:rsidRPr="002F0657" w:rsidRDefault="00CB6BC7" w:rsidP="00D53140">
            <w:pPr>
              <w:pStyle w:val="TableText"/>
              <w:tabs>
                <w:tab w:val="left" w:pos="2502"/>
              </w:tabs>
              <w:spacing w:before="30" w:after="30"/>
              <w:ind w:left="720" w:hanging="720"/>
            </w:pPr>
            <w:r w:rsidRPr="002F0657">
              <w:t xml:space="preserve">Medical Assistance With Smoking </w:t>
            </w:r>
            <w:r w:rsidR="009F6738">
              <w:t xml:space="preserve">and Tobacco Use </w:t>
            </w:r>
            <w:r w:rsidRPr="002F0657">
              <w:t>Cessation results included? (adult only)</w:t>
            </w:r>
          </w:p>
        </w:tc>
      </w:tr>
      <w:tr w:rsidR="00CB6BC7" w:rsidRPr="002F0657" w:rsidTr="009F6738">
        <w:trPr>
          <w:cantSplit/>
        </w:trPr>
        <w:tc>
          <w:tcPr>
            <w:tcW w:w="7020" w:type="dxa"/>
            <w:tcBorders>
              <w:bottom w:val="single" w:sz="6" w:space="0" w:color="auto"/>
            </w:tcBorders>
          </w:tcPr>
          <w:p w:rsidR="00CB6BC7" w:rsidRPr="002F0657" w:rsidRDefault="00CB6BC7" w:rsidP="00D53140">
            <w:pPr>
              <w:pStyle w:val="TableText"/>
              <w:tabs>
                <w:tab w:val="left" w:pos="2502"/>
              </w:tabs>
              <w:spacing w:before="30" w:after="30"/>
            </w:pPr>
            <w:r w:rsidRPr="002F0657">
              <w:t>Aspirin Use and Discussion results included? (adult only)</w:t>
            </w:r>
          </w:p>
        </w:tc>
      </w:tr>
      <w:tr w:rsidR="00CB6BC7" w:rsidRPr="002F0657" w:rsidTr="009F6738">
        <w:trPr>
          <w:cantSplit/>
        </w:trPr>
        <w:tc>
          <w:tcPr>
            <w:tcW w:w="7020" w:type="dxa"/>
            <w:tcBorders>
              <w:bottom w:val="single" w:sz="6" w:space="0" w:color="auto"/>
            </w:tcBorders>
            <w:shd w:val="clear" w:color="auto" w:fill="D9D9D9"/>
          </w:tcPr>
          <w:p w:rsidR="00CB6BC7" w:rsidRPr="002F0657" w:rsidRDefault="00CB6BC7" w:rsidP="00D53140">
            <w:pPr>
              <w:pStyle w:val="TableText"/>
              <w:tabs>
                <w:tab w:val="left" w:pos="2502"/>
              </w:tabs>
              <w:spacing w:before="30" w:after="30"/>
            </w:pPr>
            <w:r w:rsidRPr="002F0657">
              <w:t>Was the sample frame validated by a HEDIS Compliance Auditor?</w:t>
            </w:r>
          </w:p>
        </w:tc>
      </w:tr>
      <w:tr w:rsidR="00CB6BC7" w:rsidRPr="002F0657" w:rsidTr="009F6738">
        <w:trPr>
          <w:cantSplit/>
        </w:trPr>
        <w:tc>
          <w:tcPr>
            <w:tcW w:w="7020" w:type="dxa"/>
            <w:tcBorders>
              <w:bottom w:val="single" w:sz="6" w:space="0" w:color="auto"/>
            </w:tcBorders>
          </w:tcPr>
          <w:p w:rsidR="00CB6BC7" w:rsidRPr="002F0657" w:rsidRDefault="00CB6BC7" w:rsidP="00D53140">
            <w:pPr>
              <w:pStyle w:val="TableText"/>
              <w:tabs>
                <w:tab w:val="left" w:pos="2502"/>
              </w:tabs>
              <w:spacing w:before="30" w:after="30"/>
            </w:pPr>
            <w:r w:rsidRPr="002F0657">
              <w:t>Number supplemental questions</w:t>
            </w:r>
          </w:p>
        </w:tc>
      </w:tr>
      <w:tr w:rsidR="00CB6BC7" w:rsidRPr="002F0657" w:rsidTr="009F6738">
        <w:tblPrEx>
          <w:tblBorders>
            <w:bottom w:val="single" w:sz="6" w:space="0" w:color="auto"/>
          </w:tblBorders>
        </w:tblPrEx>
        <w:tc>
          <w:tcPr>
            <w:tcW w:w="7020" w:type="dxa"/>
            <w:shd w:val="clear" w:color="auto" w:fill="000000"/>
          </w:tcPr>
          <w:p w:rsidR="00CB6BC7" w:rsidRPr="002F0657" w:rsidRDefault="00CB6BC7" w:rsidP="00D53140">
            <w:pPr>
              <w:pStyle w:val="TableHead"/>
              <w:spacing w:before="30" w:after="30"/>
              <w:rPr>
                <w:color w:val="auto"/>
              </w:rPr>
            </w:pPr>
            <w:r w:rsidRPr="002F0657">
              <w:rPr>
                <w:color w:val="auto"/>
              </w:rPr>
              <w:t>Member-Level Record</w:t>
            </w:r>
          </w:p>
        </w:tc>
      </w:tr>
      <w:tr w:rsidR="00CB6BC7" w:rsidRPr="002F0657" w:rsidTr="009F6738">
        <w:tblPrEx>
          <w:tblBorders>
            <w:bottom w:val="single" w:sz="6" w:space="0" w:color="auto"/>
          </w:tblBorders>
        </w:tblPrEx>
        <w:tc>
          <w:tcPr>
            <w:tcW w:w="7020" w:type="dxa"/>
            <w:tcBorders>
              <w:bottom w:val="nil"/>
            </w:tcBorders>
          </w:tcPr>
          <w:p w:rsidR="00CB6BC7" w:rsidRPr="002F0657" w:rsidRDefault="00CB6BC7" w:rsidP="00D53140">
            <w:pPr>
              <w:pStyle w:val="TableText"/>
              <w:spacing w:before="30" w:after="30"/>
            </w:pPr>
            <w:r w:rsidRPr="002F0657">
              <w:t>Record ID</w:t>
            </w:r>
          </w:p>
        </w:tc>
      </w:tr>
      <w:tr w:rsidR="00CB6BC7" w:rsidRPr="002F0657" w:rsidTr="009F6738">
        <w:tblPrEx>
          <w:tblBorders>
            <w:bottom w:val="single" w:sz="6" w:space="0" w:color="auto"/>
          </w:tblBorders>
        </w:tblPrEx>
        <w:tc>
          <w:tcPr>
            <w:tcW w:w="7020" w:type="dxa"/>
            <w:shd w:val="clear" w:color="auto" w:fill="D9D9D9"/>
          </w:tcPr>
          <w:p w:rsidR="00CB6BC7" w:rsidRPr="002F0657" w:rsidRDefault="00CB6BC7" w:rsidP="00D53140">
            <w:pPr>
              <w:pStyle w:val="TableText"/>
              <w:spacing w:before="30" w:after="30"/>
            </w:pPr>
            <w:r w:rsidRPr="002F0657">
              <w:t>Disposition of survey</w:t>
            </w:r>
          </w:p>
        </w:tc>
      </w:tr>
      <w:tr w:rsidR="00CB6BC7" w:rsidRPr="002F0657" w:rsidTr="009F6738">
        <w:tblPrEx>
          <w:tblBorders>
            <w:bottom w:val="single" w:sz="6" w:space="0" w:color="auto"/>
          </w:tblBorders>
        </w:tblPrEx>
        <w:tc>
          <w:tcPr>
            <w:tcW w:w="7020" w:type="dxa"/>
            <w:tcBorders>
              <w:bottom w:val="nil"/>
            </w:tcBorders>
          </w:tcPr>
          <w:p w:rsidR="00CB6BC7" w:rsidRPr="002F0657" w:rsidRDefault="00CB6BC7" w:rsidP="00D53140">
            <w:pPr>
              <w:pStyle w:val="TableText"/>
              <w:spacing w:before="30" w:after="30"/>
            </w:pPr>
            <w:r w:rsidRPr="002F0657">
              <w:t>Survey round</w:t>
            </w:r>
          </w:p>
        </w:tc>
      </w:tr>
      <w:tr w:rsidR="00CB6BC7" w:rsidRPr="002F0657" w:rsidTr="009F6738">
        <w:tblPrEx>
          <w:tblBorders>
            <w:bottom w:val="single" w:sz="6" w:space="0" w:color="auto"/>
          </w:tblBorders>
        </w:tblPrEx>
        <w:tc>
          <w:tcPr>
            <w:tcW w:w="7020" w:type="dxa"/>
            <w:shd w:val="clear" w:color="auto" w:fill="D9D9D9"/>
          </w:tcPr>
          <w:p w:rsidR="00CB6BC7" w:rsidRPr="002F0657" w:rsidRDefault="00CB6BC7" w:rsidP="00D53140">
            <w:pPr>
              <w:pStyle w:val="TableText"/>
              <w:spacing w:before="30" w:after="30"/>
            </w:pPr>
            <w:r w:rsidRPr="002F0657">
              <w:t>Survey language</w:t>
            </w:r>
          </w:p>
        </w:tc>
      </w:tr>
      <w:tr w:rsidR="00CB6BC7" w:rsidRPr="002F0657" w:rsidTr="009F6738">
        <w:tblPrEx>
          <w:tblBorders>
            <w:bottom w:val="single" w:sz="6" w:space="0" w:color="auto"/>
          </w:tblBorders>
        </w:tblPrEx>
        <w:tc>
          <w:tcPr>
            <w:tcW w:w="7020" w:type="dxa"/>
            <w:tcBorders>
              <w:bottom w:val="nil"/>
            </w:tcBorders>
          </w:tcPr>
          <w:p w:rsidR="00CB6BC7" w:rsidRPr="002F0657" w:rsidRDefault="00CB6BC7" w:rsidP="00D53140">
            <w:pPr>
              <w:pStyle w:val="TableText"/>
              <w:spacing w:before="30" w:after="30"/>
            </w:pPr>
            <w:r w:rsidRPr="002F0657">
              <w:t>Member gender</w:t>
            </w:r>
          </w:p>
        </w:tc>
      </w:tr>
      <w:tr w:rsidR="00CB6BC7" w:rsidRPr="002F0657" w:rsidTr="009F6738">
        <w:tblPrEx>
          <w:tblBorders>
            <w:bottom w:val="single" w:sz="6" w:space="0" w:color="auto"/>
          </w:tblBorders>
        </w:tblPrEx>
        <w:tc>
          <w:tcPr>
            <w:tcW w:w="7020" w:type="dxa"/>
            <w:shd w:val="clear" w:color="auto" w:fill="D9D9D9"/>
          </w:tcPr>
          <w:p w:rsidR="00CB6BC7" w:rsidRPr="002F0657" w:rsidRDefault="00CB6BC7" w:rsidP="00D53140">
            <w:pPr>
              <w:pStyle w:val="TableText"/>
              <w:spacing w:before="30" w:after="30"/>
            </w:pPr>
            <w:r w:rsidRPr="002F0657">
              <w:t>Member year of birth</w:t>
            </w:r>
          </w:p>
        </w:tc>
      </w:tr>
      <w:tr w:rsidR="00CB6BC7" w:rsidRPr="002F0657" w:rsidTr="009F6738">
        <w:tblPrEx>
          <w:tblBorders>
            <w:bottom w:val="single" w:sz="6" w:space="0" w:color="auto"/>
          </w:tblBorders>
        </w:tblPrEx>
        <w:tc>
          <w:tcPr>
            <w:tcW w:w="7020" w:type="dxa"/>
            <w:tcBorders>
              <w:bottom w:val="nil"/>
            </w:tcBorders>
          </w:tcPr>
          <w:p w:rsidR="00CB6BC7" w:rsidRPr="002F0657" w:rsidRDefault="00CB6BC7" w:rsidP="00D53140">
            <w:pPr>
              <w:pStyle w:val="TableText"/>
              <w:spacing w:before="30" w:after="30"/>
            </w:pPr>
            <w:r w:rsidRPr="002F0657">
              <w:t>City of member</w:t>
            </w:r>
          </w:p>
        </w:tc>
      </w:tr>
      <w:tr w:rsidR="00CB6BC7" w:rsidRPr="002F0657" w:rsidTr="009F6738">
        <w:tblPrEx>
          <w:tblBorders>
            <w:bottom w:val="single" w:sz="6" w:space="0" w:color="auto"/>
          </w:tblBorders>
        </w:tblPrEx>
        <w:tc>
          <w:tcPr>
            <w:tcW w:w="7020" w:type="dxa"/>
            <w:tcBorders>
              <w:bottom w:val="single" w:sz="6" w:space="0" w:color="auto"/>
            </w:tcBorders>
            <w:shd w:val="clear" w:color="auto" w:fill="D9D9D9"/>
          </w:tcPr>
          <w:p w:rsidR="00CB6BC7" w:rsidRPr="002F0657" w:rsidRDefault="00CB6BC7" w:rsidP="00D53140">
            <w:pPr>
              <w:pStyle w:val="TableText"/>
              <w:spacing w:before="30" w:after="30"/>
            </w:pPr>
            <w:r w:rsidRPr="002F0657">
              <w:t>State of member</w:t>
            </w:r>
          </w:p>
        </w:tc>
      </w:tr>
      <w:tr w:rsidR="00CB6BC7" w:rsidRPr="002F0657" w:rsidTr="009F6738">
        <w:tblPrEx>
          <w:tblBorders>
            <w:bottom w:val="single" w:sz="6" w:space="0" w:color="auto"/>
          </w:tblBorders>
        </w:tblPrEx>
        <w:trPr>
          <w:cantSplit/>
        </w:trPr>
        <w:tc>
          <w:tcPr>
            <w:tcW w:w="7020" w:type="dxa"/>
            <w:tcBorders>
              <w:bottom w:val="nil"/>
            </w:tcBorders>
          </w:tcPr>
          <w:p w:rsidR="00CB6BC7" w:rsidRPr="002F0657" w:rsidRDefault="00CB6BC7" w:rsidP="00D53140">
            <w:pPr>
              <w:pStyle w:val="TableText"/>
              <w:spacing w:before="30" w:after="30"/>
            </w:pPr>
            <w:r w:rsidRPr="002F0657">
              <w:t>Flu Shots for Adults Ages 50–64 Eligibility Flag (commercial only)</w:t>
            </w:r>
          </w:p>
        </w:tc>
      </w:tr>
      <w:tr w:rsidR="00CB6BC7" w:rsidRPr="002F0657" w:rsidTr="009F6738">
        <w:tblPrEx>
          <w:tblBorders>
            <w:bottom w:val="single" w:sz="6" w:space="0" w:color="auto"/>
          </w:tblBorders>
        </w:tblPrEx>
        <w:tc>
          <w:tcPr>
            <w:tcW w:w="7020" w:type="dxa"/>
            <w:tcBorders>
              <w:bottom w:val="single" w:sz="6" w:space="0" w:color="auto"/>
            </w:tcBorders>
            <w:shd w:val="clear" w:color="auto" w:fill="D9D9D9"/>
          </w:tcPr>
          <w:p w:rsidR="00CB6BC7" w:rsidRPr="002F0657" w:rsidRDefault="00CB6BC7" w:rsidP="00D53140">
            <w:pPr>
              <w:pStyle w:val="TableText"/>
              <w:spacing w:before="30" w:after="30"/>
            </w:pPr>
            <w:r w:rsidRPr="002F0657">
              <w:t>Member age as of December 31 of the measurement year (adult only)</w:t>
            </w:r>
          </w:p>
        </w:tc>
      </w:tr>
      <w:tr w:rsidR="00CB6BC7" w:rsidRPr="002F0657" w:rsidTr="009F6738">
        <w:tblPrEx>
          <w:tblBorders>
            <w:bottom w:val="single" w:sz="6" w:space="0" w:color="auto"/>
          </w:tblBorders>
        </w:tblPrEx>
        <w:trPr>
          <w:cantSplit/>
        </w:trPr>
        <w:tc>
          <w:tcPr>
            <w:tcW w:w="7020" w:type="dxa"/>
            <w:shd w:val="clear" w:color="auto" w:fill="auto"/>
          </w:tcPr>
          <w:p w:rsidR="00CB6BC7" w:rsidRPr="002F0657" w:rsidRDefault="00CB6BC7" w:rsidP="00D53140">
            <w:pPr>
              <w:pStyle w:val="TableText"/>
              <w:tabs>
                <w:tab w:val="left" w:pos="2502"/>
              </w:tabs>
              <w:spacing w:before="30" w:after="30"/>
            </w:pPr>
            <w:r w:rsidRPr="002F0657">
              <w:t>Item-by-item responses to each question in the survey</w:t>
            </w:r>
          </w:p>
        </w:tc>
      </w:tr>
    </w:tbl>
    <w:p w:rsidR="00D53140" w:rsidRPr="002F0657" w:rsidRDefault="00D53140"/>
    <w:sectPr w:rsidR="00D53140" w:rsidRPr="002F0657" w:rsidSect="003C7BFE">
      <w:pgSz w:w="12240" w:h="15840" w:code="1"/>
      <w:pgMar w:top="1080" w:right="1080" w:bottom="108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C0A" w:rsidRDefault="00BF6C0A" w:rsidP="003C7BFE">
      <w:r>
        <w:separator/>
      </w:r>
    </w:p>
  </w:endnote>
  <w:endnote w:type="continuationSeparator" w:id="0">
    <w:p w:rsidR="00BF6C0A" w:rsidRDefault="00BF6C0A" w:rsidP="003C7B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Bold">
    <w:panose1 w:val="020B0706020202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BF6C0A">
    <w:pPr>
      <w:pStyle w:val="Footer"/>
      <w:tabs>
        <w:tab w:val="right" w:pos="9360"/>
      </w:tabs>
    </w:pPr>
    <w:r>
      <w:t>HEDIS 2013, Volume 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BF6C0A">
    <w:pPr>
      <w:pStyle w:val="Footer"/>
    </w:pPr>
    <w:r>
      <w:t>HEDIS 2013, Volume 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BF6C0A" w:rsidP="00D53140">
    <w:pPr>
      <w:pStyle w:val="Footer"/>
      <w:jc w:val="right"/>
    </w:pPr>
    <w:r>
      <w:t>HEDIS 2013, Volume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C0A" w:rsidRDefault="00BF6C0A" w:rsidP="003C7BFE">
      <w:r>
        <w:separator/>
      </w:r>
    </w:p>
  </w:footnote>
  <w:footnote w:type="continuationSeparator" w:id="0">
    <w:p w:rsidR="00BF6C0A" w:rsidRDefault="00BF6C0A" w:rsidP="003C7B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582743">
    <w:pPr>
      <w:pStyle w:val="Header"/>
    </w:pPr>
    <w:fldSimple w:instr=" PAGE ">
      <w:r w:rsidR="00BF6C0A">
        <w:rPr>
          <w:noProof/>
        </w:rPr>
        <w:t>50</w:t>
      </w:r>
    </w:fldSimple>
    <w:r w:rsidR="00BF6C0A">
      <w:t xml:space="preserve">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582743" w:rsidP="00D53140">
    <w:pPr>
      <w:pStyle w:val="Header"/>
      <w:tabs>
        <w:tab w:val="left" w:pos="720"/>
      </w:tabs>
    </w:pPr>
    <w:fldSimple w:instr=" PAGE ">
      <w:r w:rsidR="00AA4E6A">
        <w:rPr>
          <w:noProof/>
        </w:rPr>
        <w:t>54</w:t>
      </w:r>
    </w:fldSimple>
    <w:r w:rsidR="00BF6C0A">
      <w:tab/>
      <w:t>Protocols for Administering HEDIS/CAHPS Surveys</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BF6C0A" w:rsidP="00D53140">
    <w:pPr>
      <w:pStyle w:val="Header"/>
    </w:pPr>
    <w:r>
      <w:tab/>
      <w:t>Protocols for Administering HEDIS/CAHPS Surveys</w:t>
    </w:r>
    <w:r>
      <w:tab/>
    </w:r>
    <w:fldSimple w:instr=" PAGE ">
      <w:r w:rsidR="00AA4E6A">
        <w:rPr>
          <w:noProof/>
        </w:rPr>
        <w:t>65</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582743" w:rsidP="003C7BFE">
    <w:pPr>
      <w:pStyle w:val="Header"/>
      <w:tabs>
        <w:tab w:val="clear" w:pos="9000"/>
        <w:tab w:val="left" w:pos="720"/>
      </w:tabs>
    </w:pPr>
    <w:fldSimple w:instr=" PAGE ">
      <w:r w:rsidR="00AA4E6A">
        <w:rPr>
          <w:noProof/>
        </w:rPr>
        <w:t>58</w:t>
      </w:r>
    </w:fldSimple>
    <w:r w:rsidR="00BF6C0A">
      <w:tab/>
      <w:t>Protocols for Administering HEDIS/CAHPS Surveys</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582743" w:rsidP="00D53140">
    <w:pPr>
      <w:pStyle w:val="Header"/>
      <w:tabs>
        <w:tab w:val="left" w:pos="720"/>
      </w:tabs>
    </w:pPr>
    <w:fldSimple w:instr=" PAGE ">
      <w:r w:rsidR="00AA4E6A">
        <w:rPr>
          <w:noProof/>
        </w:rPr>
        <w:t>66</w:t>
      </w:r>
    </w:fldSimple>
    <w:r w:rsidR="00BF6C0A">
      <w:tab/>
      <w:t>Protocols for Administering HEDIS/CAHPS Surveys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582743">
    <w:pPr>
      <w:pStyle w:val="Header"/>
    </w:pPr>
    <w:r>
      <w:rPr>
        <w:rStyle w:val="PageNumber"/>
      </w:rPr>
      <w:fldChar w:fldCharType="begin"/>
    </w:r>
    <w:r w:rsidR="00BF6C0A">
      <w:rPr>
        <w:rStyle w:val="PageNumber"/>
      </w:rPr>
      <w:instrText xml:space="preserve"> PAGE </w:instrText>
    </w:r>
    <w:r>
      <w:rPr>
        <w:rStyle w:val="PageNumber"/>
      </w:rPr>
      <w:fldChar w:fldCharType="separate"/>
    </w:r>
    <w:r w:rsidR="009D4C5F">
      <w:rPr>
        <w:rStyle w:val="PageNumber"/>
        <w:noProof/>
      </w:rPr>
      <w:t>48</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582743" w:rsidP="00D53140">
    <w:pPr>
      <w:pStyle w:val="Header"/>
      <w:tabs>
        <w:tab w:val="left" w:pos="720"/>
      </w:tabs>
    </w:pPr>
    <w:fldSimple w:instr=" PAGE ">
      <w:r w:rsidR="00BF6C0A">
        <w:rPr>
          <w:noProof/>
        </w:rPr>
        <w:t>50</w:t>
      </w:r>
    </w:fldSimple>
    <w:r w:rsidR="00BF6C0A">
      <w:tab/>
      <w:t>CAHPS Health Plan Survey 5.0H, Adult Version</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BF6C0A" w:rsidP="00D53140">
    <w:pPr>
      <w:pStyle w:val="Header"/>
    </w:pPr>
    <w:r>
      <w:tab/>
      <w:t>CAHPS Health Plan Survey 5.0H, Adult Version</w:t>
    </w:r>
    <w:r>
      <w:tab/>
    </w:r>
    <w:fldSimple w:instr=" PAGE ">
      <w:r w:rsidR="00C60718">
        <w:rPr>
          <w:noProof/>
        </w:rPr>
        <w:t>49</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582743" w:rsidP="00D53140">
    <w:pPr>
      <w:pStyle w:val="Header"/>
      <w:tabs>
        <w:tab w:val="left" w:pos="720"/>
      </w:tabs>
    </w:pPr>
    <w:fldSimple w:instr=" PAGE ">
      <w:r w:rsidR="00AA4E6A">
        <w:rPr>
          <w:noProof/>
        </w:rPr>
        <w:t>50</w:t>
      </w:r>
    </w:fldSimple>
    <w:r w:rsidR="00BF6C0A">
      <w:tab/>
      <w:t>CAHPS Health Plan Survey 5.0H, Adult Version</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582743" w:rsidP="00D53140">
    <w:pPr>
      <w:pStyle w:val="Header"/>
      <w:tabs>
        <w:tab w:val="left" w:pos="720"/>
      </w:tabs>
    </w:pPr>
    <w:fldSimple w:instr=" PAGE ">
      <w:r w:rsidR="00FE5571">
        <w:rPr>
          <w:noProof/>
        </w:rPr>
        <w:t>52</w:t>
      </w:r>
    </w:fldSimple>
    <w:r w:rsidR="00BF6C0A">
      <w:tab/>
      <w:t>CAHPS Health Plan Survey 5.0H, Child Version</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BF6C0A" w:rsidP="00D53140">
    <w:pPr>
      <w:pStyle w:val="Header"/>
    </w:pPr>
    <w:r>
      <w:tab/>
      <w:t>CAHPS Health Plan Survey 5.0H, Child Version</w:t>
    </w:r>
    <w:r>
      <w:tab/>
    </w:r>
    <w:fldSimple w:instr=" PAGE ">
      <w:r w:rsidR="00AA4E6A">
        <w:rPr>
          <w:noProof/>
        </w:rPr>
        <w:t>51</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582743" w:rsidP="00D53140">
    <w:pPr>
      <w:pStyle w:val="Header"/>
      <w:tabs>
        <w:tab w:val="left" w:pos="720"/>
      </w:tabs>
    </w:pPr>
    <w:fldSimple w:instr=" PAGE ">
      <w:r w:rsidR="00AA4E6A">
        <w:rPr>
          <w:noProof/>
        </w:rPr>
        <w:t>52</w:t>
      </w:r>
    </w:fldSimple>
    <w:r w:rsidR="00BF6C0A">
      <w:tab/>
      <w:t>CAHPS Health Plan Survey 5.0H, Child Version</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0A" w:rsidRDefault="00BF6C0A" w:rsidP="00D53140">
    <w:pPr>
      <w:pStyle w:val="Header"/>
    </w:pPr>
    <w:r>
      <w:tab/>
      <w:t>CAHPS Health Plan Survey 5.0H, Child Version</w:t>
    </w:r>
    <w:r>
      <w:tab/>
    </w:r>
    <w:fldSimple w:instr=" PAGE ">
      <w:r w:rsidR="00FE5571">
        <w:rPr>
          <w:noProof/>
        </w:rPr>
        <w:t>53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11220919"/>
    <w:multiLevelType w:val="hybridMultilevel"/>
    <w:tmpl w:val="7ECE2706"/>
    <w:lvl w:ilvl="0" w:tplc="04090001">
      <w:start w:val="1"/>
      <w:numFmt w:val="bullet"/>
      <w:lvlText w:val=""/>
      <w:lvlJc w:val="left"/>
      <w:pPr>
        <w:tabs>
          <w:tab w:val="num" w:pos="432"/>
        </w:tabs>
        <w:ind w:left="432"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B914FBF"/>
    <w:multiLevelType w:val="hybridMultilevel"/>
    <w:tmpl w:val="80329C6C"/>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D270D16"/>
    <w:multiLevelType w:val="hybridMultilevel"/>
    <w:tmpl w:val="54803002"/>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311B2742"/>
    <w:multiLevelType w:val="hybridMultilevel"/>
    <w:tmpl w:val="8542A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3022E1"/>
    <w:multiLevelType w:val="multilevel"/>
    <w:tmpl w:val="C27A34D8"/>
    <w:lvl w:ilvl="0">
      <w:start w:val="1"/>
      <w:numFmt w:val="decimal"/>
      <w:lvlText w:val="%1."/>
      <w:lvlJc w:val="left"/>
      <w:pPr>
        <w:tabs>
          <w:tab w:val="num" w:pos="1080"/>
        </w:tabs>
        <w:ind w:left="1080" w:hanging="360"/>
      </w:pPr>
      <w:rPr>
        <w:rFonts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D0412E0"/>
    <w:multiLevelType w:val="hybridMultilevel"/>
    <w:tmpl w:val="C27A34D8"/>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F222D97"/>
    <w:multiLevelType w:val="hybridMultilevel"/>
    <w:tmpl w:val="7A06A214"/>
    <w:lvl w:ilvl="0" w:tplc="E6921246">
      <w:start w:val="1"/>
      <w:numFmt w:val="decimal"/>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1006865"/>
    <w:multiLevelType w:val="hybridMultilevel"/>
    <w:tmpl w:val="6B24A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A211F0"/>
    <w:multiLevelType w:val="hybridMultilevel"/>
    <w:tmpl w:val="C97C4D94"/>
    <w:lvl w:ilvl="0" w:tplc="E6921246">
      <w:start w:val="1"/>
      <w:numFmt w:val="decimal"/>
      <w:lvlText w:val="%1."/>
      <w:lvlJc w:val="left"/>
      <w:pPr>
        <w:tabs>
          <w:tab w:val="num" w:pos="1080"/>
        </w:tabs>
        <w:ind w:left="1080" w:hanging="360"/>
      </w:pPr>
      <w:rPr>
        <w:rFonts w:hint="default"/>
        <w:b w:val="0"/>
        <w:i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D0C1A6F"/>
    <w:multiLevelType w:val="multilevel"/>
    <w:tmpl w:val="058ABE52"/>
    <w:lvl w:ilvl="0">
      <w:start w:val="1"/>
      <w:numFmt w:val="decimal"/>
      <w:lvlText w:val="%1."/>
      <w:lvlJc w:val="left"/>
      <w:pPr>
        <w:tabs>
          <w:tab w:val="num" w:pos="1080"/>
        </w:tabs>
        <w:ind w:left="1080" w:hanging="360"/>
      </w:pPr>
      <w:rPr>
        <w:rFonts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4">
    <w:nsid w:val="51CA68CF"/>
    <w:multiLevelType w:val="hybridMultilevel"/>
    <w:tmpl w:val="2250D9AA"/>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1DB0882"/>
    <w:multiLevelType w:val="singleLevel"/>
    <w:tmpl w:val="0409000F"/>
    <w:lvl w:ilvl="0">
      <w:start w:val="1"/>
      <w:numFmt w:val="decimal"/>
      <w:lvlText w:val="%1."/>
      <w:lvlJc w:val="left"/>
      <w:pPr>
        <w:tabs>
          <w:tab w:val="num" w:pos="360"/>
        </w:tabs>
        <w:ind w:left="360" w:hanging="360"/>
      </w:pPr>
    </w:lvl>
  </w:abstractNum>
  <w:abstractNum w:abstractNumId="26">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5D461CF2"/>
    <w:multiLevelType w:val="hybridMultilevel"/>
    <w:tmpl w:val="6EB0BF02"/>
    <w:lvl w:ilvl="0" w:tplc="E6921246">
      <w:start w:val="1"/>
      <w:numFmt w:val="decimal"/>
      <w:lvlText w:val="%1."/>
      <w:lvlJc w:val="left"/>
      <w:pPr>
        <w:tabs>
          <w:tab w:val="num" w:pos="1080"/>
        </w:tabs>
        <w:ind w:left="1080" w:hanging="360"/>
      </w:pPr>
      <w:rPr>
        <w:rFonts w:hint="default"/>
        <w:b w:val="0"/>
        <w:i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2CE422D"/>
    <w:multiLevelType w:val="hybridMultilevel"/>
    <w:tmpl w:val="EE42ECF4"/>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6BF6954"/>
    <w:multiLevelType w:val="hybridMultilevel"/>
    <w:tmpl w:val="058ABE52"/>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C3D7D6B"/>
    <w:multiLevelType w:val="singleLevel"/>
    <w:tmpl w:val="74D209E4"/>
    <w:lvl w:ilvl="0">
      <w:start w:val="1"/>
      <w:numFmt w:val="decimal"/>
      <w:lvlText w:val="%1.)"/>
      <w:legacy w:legacy="1" w:legacySpace="0" w:legacyIndent="360"/>
      <w:lvlJc w:val="left"/>
      <w:pPr>
        <w:ind w:left="360" w:hanging="360"/>
      </w:pPr>
    </w:lvl>
  </w:abstractNum>
  <w:num w:numId="1">
    <w:abstractNumId w:val="26"/>
  </w:num>
  <w:num w:numId="2">
    <w:abstractNumId w:val="12"/>
  </w:num>
  <w:num w:numId="3">
    <w:abstractNumId w:val="17"/>
  </w:num>
  <w:num w:numId="4">
    <w:abstractNumId w:val="11"/>
  </w:num>
  <w:num w:numId="5">
    <w:abstractNumId w:val="21"/>
  </w:num>
  <w:num w:numId="6">
    <w:abstractNumId w:val="13"/>
  </w:num>
  <w:num w:numId="7">
    <w:abstractNumId w:val="30"/>
  </w:num>
  <w:num w:numId="8">
    <w:abstractNumId w:val="25"/>
  </w:num>
  <w:num w:numId="9">
    <w:abstractNumId w:val="28"/>
  </w:num>
  <w:num w:numId="10">
    <w:abstractNumId w:val="18"/>
  </w:num>
  <w:num w:numId="11">
    <w:abstractNumId w:val="29"/>
  </w:num>
  <w:num w:numId="12">
    <w:abstractNumId w:val="14"/>
  </w:num>
  <w:num w:numId="13">
    <w:abstractNumId w:val="24"/>
  </w:num>
  <w:num w:numId="14">
    <w:abstractNumId w:val="16"/>
  </w:num>
  <w:num w:numId="15">
    <w:abstractNumId w:val="19"/>
  </w:num>
  <w:num w:numId="16">
    <w:abstractNumId w:val="27"/>
  </w:num>
  <w:num w:numId="17">
    <w:abstractNumId w:val="22"/>
  </w:num>
  <w:num w:numId="18">
    <w:abstractNumId w:val="23"/>
  </w:num>
  <w:num w:numId="19">
    <w:abstractNumId w:val="20"/>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5"/>
  </w:num>
  <w:num w:numId="31">
    <w:abstractNumId w:val="13"/>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5"/>
  <w:mirrorMargins/>
  <w:hideSpellingErrors/>
  <w:hideGrammaticalErrors/>
  <w:attachedTemplate r:id="rId1"/>
  <w:doNotTrackFormatting/>
  <w:defaultTabStop w:val="720"/>
  <w:evenAndOddHeaders/>
  <w:drawingGridHorizontalSpacing w:val="120"/>
  <w:drawingGridVerticalSpacing w:val="163"/>
  <w:displayHorizontalDrawingGridEvery w:val="0"/>
  <w:displayVerticalDrawingGridEvery w:val="2"/>
  <w:characterSpacingControl w:val="doNotCompress"/>
  <w:hdrShapeDefaults>
    <o:shapedefaults v:ext="edit" spidmax="89089"/>
  </w:hdrShapeDefaults>
  <w:footnotePr>
    <w:footnote w:id="-1"/>
    <w:footnote w:id="0"/>
  </w:footnotePr>
  <w:endnotePr>
    <w:endnote w:id="-1"/>
    <w:endnote w:id="0"/>
  </w:endnotePr>
  <w:compat/>
  <w:rsids>
    <w:rsidRoot w:val="00CB6BC7"/>
    <w:rsid w:val="00005160"/>
    <w:rsid w:val="000474DD"/>
    <w:rsid w:val="000578DE"/>
    <w:rsid w:val="00065CBB"/>
    <w:rsid w:val="0007460D"/>
    <w:rsid w:val="000B6349"/>
    <w:rsid w:val="000E3897"/>
    <w:rsid w:val="000E4151"/>
    <w:rsid w:val="001A0FE6"/>
    <w:rsid w:val="001B138E"/>
    <w:rsid w:val="001C1B49"/>
    <w:rsid w:val="001C2A6A"/>
    <w:rsid w:val="001F02C3"/>
    <w:rsid w:val="00210150"/>
    <w:rsid w:val="00241C5B"/>
    <w:rsid w:val="002642B6"/>
    <w:rsid w:val="002A75C0"/>
    <w:rsid w:val="002D1865"/>
    <w:rsid w:val="002F0657"/>
    <w:rsid w:val="0030254B"/>
    <w:rsid w:val="00314AA0"/>
    <w:rsid w:val="00334A34"/>
    <w:rsid w:val="003631CB"/>
    <w:rsid w:val="00384881"/>
    <w:rsid w:val="003C59DD"/>
    <w:rsid w:val="003C6EC2"/>
    <w:rsid w:val="003C7BFE"/>
    <w:rsid w:val="003D1D70"/>
    <w:rsid w:val="003E2D47"/>
    <w:rsid w:val="00405326"/>
    <w:rsid w:val="00424C70"/>
    <w:rsid w:val="00441F9D"/>
    <w:rsid w:val="00444B6D"/>
    <w:rsid w:val="004554D8"/>
    <w:rsid w:val="004574EC"/>
    <w:rsid w:val="00463F91"/>
    <w:rsid w:val="004928F5"/>
    <w:rsid w:val="004A4288"/>
    <w:rsid w:val="004B368F"/>
    <w:rsid w:val="004B5D78"/>
    <w:rsid w:val="004D764A"/>
    <w:rsid w:val="004E7C38"/>
    <w:rsid w:val="00510BE9"/>
    <w:rsid w:val="0051770C"/>
    <w:rsid w:val="005229B0"/>
    <w:rsid w:val="005260CB"/>
    <w:rsid w:val="005405AC"/>
    <w:rsid w:val="00564780"/>
    <w:rsid w:val="00582743"/>
    <w:rsid w:val="005A1736"/>
    <w:rsid w:val="005A2C9B"/>
    <w:rsid w:val="005A4623"/>
    <w:rsid w:val="005B2D69"/>
    <w:rsid w:val="005E3501"/>
    <w:rsid w:val="006179B7"/>
    <w:rsid w:val="0067041C"/>
    <w:rsid w:val="00675EEC"/>
    <w:rsid w:val="006D03D7"/>
    <w:rsid w:val="006D3A43"/>
    <w:rsid w:val="006E09D4"/>
    <w:rsid w:val="006E4D20"/>
    <w:rsid w:val="006E6068"/>
    <w:rsid w:val="00703571"/>
    <w:rsid w:val="007121D7"/>
    <w:rsid w:val="00714AC1"/>
    <w:rsid w:val="007959ED"/>
    <w:rsid w:val="007D0CA5"/>
    <w:rsid w:val="007F173D"/>
    <w:rsid w:val="00802F76"/>
    <w:rsid w:val="008077CC"/>
    <w:rsid w:val="008142A2"/>
    <w:rsid w:val="00856671"/>
    <w:rsid w:val="00860193"/>
    <w:rsid w:val="0087377D"/>
    <w:rsid w:val="00873D5B"/>
    <w:rsid w:val="00893514"/>
    <w:rsid w:val="008A3ABC"/>
    <w:rsid w:val="008A7AAE"/>
    <w:rsid w:val="008C6F84"/>
    <w:rsid w:val="008D1B2F"/>
    <w:rsid w:val="008D6090"/>
    <w:rsid w:val="008E23C3"/>
    <w:rsid w:val="00912ACA"/>
    <w:rsid w:val="0091727B"/>
    <w:rsid w:val="00921F35"/>
    <w:rsid w:val="0099189A"/>
    <w:rsid w:val="00996BC6"/>
    <w:rsid w:val="009A13E3"/>
    <w:rsid w:val="009D4C5F"/>
    <w:rsid w:val="009E2D4A"/>
    <w:rsid w:val="009F6738"/>
    <w:rsid w:val="00A02E9F"/>
    <w:rsid w:val="00A05CA4"/>
    <w:rsid w:val="00A3430F"/>
    <w:rsid w:val="00A347B7"/>
    <w:rsid w:val="00A70734"/>
    <w:rsid w:val="00A80C72"/>
    <w:rsid w:val="00A82C61"/>
    <w:rsid w:val="00A939E6"/>
    <w:rsid w:val="00A959A3"/>
    <w:rsid w:val="00AA4E6A"/>
    <w:rsid w:val="00AB5901"/>
    <w:rsid w:val="00AC4380"/>
    <w:rsid w:val="00AC4EEA"/>
    <w:rsid w:val="00AC7902"/>
    <w:rsid w:val="00AD79D9"/>
    <w:rsid w:val="00AE64FC"/>
    <w:rsid w:val="00B14B2D"/>
    <w:rsid w:val="00B440E2"/>
    <w:rsid w:val="00B466F6"/>
    <w:rsid w:val="00B51E42"/>
    <w:rsid w:val="00B71DC0"/>
    <w:rsid w:val="00BA1BAC"/>
    <w:rsid w:val="00BB49A3"/>
    <w:rsid w:val="00BC5D54"/>
    <w:rsid w:val="00BD2325"/>
    <w:rsid w:val="00BE528F"/>
    <w:rsid w:val="00BF6341"/>
    <w:rsid w:val="00BF6C0A"/>
    <w:rsid w:val="00C35E33"/>
    <w:rsid w:val="00C60718"/>
    <w:rsid w:val="00C81E97"/>
    <w:rsid w:val="00C91381"/>
    <w:rsid w:val="00C97440"/>
    <w:rsid w:val="00CB3255"/>
    <w:rsid w:val="00CB6BC7"/>
    <w:rsid w:val="00CC37A9"/>
    <w:rsid w:val="00D30359"/>
    <w:rsid w:val="00D42364"/>
    <w:rsid w:val="00D47185"/>
    <w:rsid w:val="00D53140"/>
    <w:rsid w:val="00D6641A"/>
    <w:rsid w:val="00DA1B45"/>
    <w:rsid w:val="00DA222E"/>
    <w:rsid w:val="00DA2C04"/>
    <w:rsid w:val="00DD2ADB"/>
    <w:rsid w:val="00E11409"/>
    <w:rsid w:val="00E1453E"/>
    <w:rsid w:val="00E306D7"/>
    <w:rsid w:val="00E654B4"/>
    <w:rsid w:val="00E92D80"/>
    <w:rsid w:val="00EA666E"/>
    <w:rsid w:val="00EB1C0C"/>
    <w:rsid w:val="00EB52D7"/>
    <w:rsid w:val="00EC1E7F"/>
    <w:rsid w:val="00EC7F8A"/>
    <w:rsid w:val="00ED748B"/>
    <w:rsid w:val="00F05108"/>
    <w:rsid w:val="00F1081D"/>
    <w:rsid w:val="00F126F2"/>
    <w:rsid w:val="00F15135"/>
    <w:rsid w:val="00F154B6"/>
    <w:rsid w:val="00F658CE"/>
    <w:rsid w:val="00F850DB"/>
    <w:rsid w:val="00F97A33"/>
    <w:rsid w:val="00FC0503"/>
    <w:rsid w:val="00FD095A"/>
    <w:rsid w:val="00FD21F3"/>
    <w:rsid w:val="00FE292D"/>
    <w:rsid w:val="00FE5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1D7"/>
    <w:rPr>
      <w:rFonts w:eastAsia="Times New Roman" w:cs="Times New Roman"/>
      <w:szCs w:val="24"/>
    </w:rPr>
  </w:style>
  <w:style w:type="paragraph" w:styleId="Heading1">
    <w:name w:val="heading 1"/>
    <w:aliases w:val="A Head,H1-Sec.Head"/>
    <w:basedOn w:val="Normal"/>
    <w:next w:val="Normal"/>
    <w:link w:val="Heading1Char"/>
    <w:qFormat/>
    <w:rsid w:val="007121D7"/>
    <w:pPr>
      <w:keepNext/>
      <w:spacing w:after="360"/>
      <w:jc w:val="center"/>
      <w:outlineLvl w:val="0"/>
    </w:pPr>
    <w:rPr>
      <w:b/>
      <w:bCs/>
      <w:kern w:val="32"/>
      <w:sz w:val="32"/>
      <w:szCs w:val="32"/>
    </w:rPr>
  </w:style>
  <w:style w:type="paragraph" w:styleId="Heading2">
    <w:name w:val="heading 2"/>
    <w:aliases w:val="H2-Sec. Head"/>
    <w:basedOn w:val="Normal"/>
    <w:next w:val="Normal"/>
    <w:link w:val="Heading2Char"/>
    <w:unhideWhenUsed/>
    <w:qFormat/>
    <w:rsid w:val="00860193"/>
    <w:pPr>
      <w:keepNext/>
      <w:keepLines/>
      <w:spacing w:after="360"/>
      <w:jc w:val="center"/>
      <w:outlineLvl w:val="1"/>
    </w:pPr>
    <w:rPr>
      <w:rFonts w:ascii="Times New Roman" w:hAnsi="Times New Roman"/>
      <w:b/>
      <w:bCs/>
      <w:i/>
      <w:sz w:val="28"/>
      <w:szCs w:val="26"/>
    </w:rPr>
  </w:style>
  <w:style w:type="paragraph" w:styleId="Heading3">
    <w:name w:val="heading 3"/>
    <w:aliases w:val="H3-Sec. Head"/>
    <w:basedOn w:val="Normal"/>
    <w:next w:val="Normal"/>
    <w:link w:val="Heading3Char"/>
    <w:qFormat/>
    <w:rsid w:val="007121D7"/>
    <w:pPr>
      <w:keepNext/>
      <w:spacing w:before="240" w:after="60"/>
      <w:outlineLvl w:val="2"/>
    </w:pPr>
    <w:rPr>
      <w:rFonts w:cs="Arial"/>
      <w:b/>
      <w:bCs/>
      <w:sz w:val="22"/>
      <w:szCs w:val="26"/>
    </w:rPr>
  </w:style>
  <w:style w:type="paragraph" w:styleId="Heading4">
    <w:name w:val="heading 4"/>
    <w:basedOn w:val="Normal"/>
    <w:next w:val="Normal"/>
    <w:link w:val="Heading4Char"/>
    <w:qFormat/>
    <w:rsid w:val="00CB6BC7"/>
    <w:pPr>
      <w:keepNext/>
      <w:widowControl w:val="0"/>
      <w:pBdr>
        <w:top w:val="single" w:sz="4" w:space="1" w:color="auto"/>
      </w:pBdr>
      <w:tabs>
        <w:tab w:val="left" w:pos="8460"/>
      </w:tabs>
      <w:spacing w:after="240"/>
      <w:outlineLvl w:val="3"/>
    </w:pPr>
    <w:rPr>
      <w:b/>
    </w:rPr>
  </w:style>
  <w:style w:type="paragraph" w:styleId="Heading5">
    <w:name w:val="heading 5"/>
    <w:basedOn w:val="Normal"/>
    <w:next w:val="Normal"/>
    <w:link w:val="Heading5Char"/>
    <w:qFormat/>
    <w:rsid w:val="00CB6BC7"/>
    <w:pPr>
      <w:keepNext/>
      <w:outlineLvl w:val="4"/>
    </w:pPr>
    <w:rPr>
      <w:b/>
      <w:bCs/>
      <w:sz w:val="22"/>
    </w:rPr>
  </w:style>
  <w:style w:type="paragraph" w:styleId="Heading6">
    <w:name w:val="heading 6"/>
    <w:basedOn w:val="Normal"/>
    <w:next w:val="Normal"/>
    <w:link w:val="Heading6Char"/>
    <w:qFormat/>
    <w:rsid w:val="00CB6BC7"/>
    <w:pPr>
      <w:keepNext/>
      <w:jc w:val="center"/>
      <w:outlineLvl w:val="5"/>
    </w:pPr>
    <w:rPr>
      <w:b/>
      <w:sz w:val="22"/>
    </w:rPr>
  </w:style>
  <w:style w:type="paragraph" w:styleId="Heading7">
    <w:name w:val="heading 7"/>
    <w:basedOn w:val="Normal"/>
    <w:next w:val="Normal"/>
    <w:link w:val="Heading7Char"/>
    <w:qFormat/>
    <w:rsid w:val="00CB6BC7"/>
    <w:pPr>
      <w:keepNext/>
      <w:spacing w:before="60" w:after="60"/>
      <w:outlineLvl w:val="6"/>
    </w:pPr>
    <w:rPr>
      <w:sz w:val="22"/>
    </w:rPr>
  </w:style>
  <w:style w:type="paragraph" w:styleId="Heading8">
    <w:name w:val="heading 8"/>
    <w:basedOn w:val="Normal"/>
    <w:next w:val="Normal"/>
    <w:link w:val="Heading8Char"/>
    <w:qFormat/>
    <w:rsid w:val="00CB6BC7"/>
    <w:pPr>
      <w:keepNext/>
      <w:outlineLvl w:val="7"/>
    </w:pPr>
    <w:rPr>
      <w:b/>
      <w:sz w:val="22"/>
    </w:rPr>
  </w:style>
  <w:style w:type="paragraph" w:styleId="Heading9">
    <w:name w:val="heading 9"/>
    <w:basedOn w:val="Normal"/>
    <w:next w:val="Normal"/>
    <w:link w:val="Heading9Char"/>
    <w:qFormat/>
    <w:rsid w:val="00CB6BC7"/>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3-Sec. Head Char"/>
    <w:basedOn w:val="DefaultParagraphFont"/>
    <w:link w:val="Heading3"/>
    <w:rsid w:val="00CB6BC7"/>
    <w:rPr>
      <w:rFonts w:eastAsia="Times New Roman"/>
      <w:b/>
      <w:bCs/>
      <w:sz w:val="22"/>
      <w:szCs w:val="26"/>
    </w:rPr>
  </w:style>
  <w:style w:type="paragraph" w:customStyle="1" w:styleId="Body">
    <w:name w:val="Body"/>
    <w:link w:val="BodyChar1"/>
    <w:rsid w:val="007121D7"/>
    <w:pPr>
      <w:spacing w:before="180"/>
    </w:pPr>
    <w:rPr>
      <w:rFonts w:eastAsia="Times New Roman" w:cs="Times New Roman"/>
      <w:szCs w:val="24"/>
    </w:rPr>
  </w:style>
  <w:style w:type="paragraph" w:customStyle="1" w:styleId="Bullet">
    <w:name w:val="Bullet"/>
    <w:link w:val="BulletChar"/>
    <w:rsid w:val="007121D7"/>
    <w:pPr>
      <w:numPr>
        <w:numId w:val="1"/>
      </w:numPr>
      <w:tabs>
        <w:tab w:val="left" w:pos="576"/>
      </w:tabs>
      <w:spacing w:before="120"/>
      <w:ind w:left="576"/>
    </w:pPr>
    <w:rPr>
      <w:rFonts w:eastAsia="Times New Roman" w:cs="Times New Roman"/>
      <w:szCs w:val="24"/>
    </w:rPr>
  </w:style>
  <w:style w:type="paragraph" w:customStyle="1" w:styleId="Dash">
    <w:name w:val="Dash"/>
    <w:rsid w:val="007121D7"/>
    <w:pPr>
      <w:numPr>
        <w:numId w:val="2"/>
      </w:numPr>
      <w:spacing w:before="60"/>
    </w:pPr>
    <w:rPr>
      <w:rFonts w:eastAsia="Times New Roman" w:cs="Times New Roman"/>
      <w:szCs w:val="24"/>
    </w:rPr>
  </w:style>
  <w:style w:type="paragraph" w:styleId="Header">
    <w:name w:val="header"/>
    <w:link w:val="HeaderChar"/>
    <w:rsid w:val="007121D7"/>
    <w:pPr>
      <w:pBdr>
        <w:bottom w:val="single" w:sz="6" w:space="1" w:color="auto"/>
      </w:pBdr>
      <w:tabs>
        <w:tab w:val="right" w:pos="9000"/>
        <w:tab w:val="right" w:pos="9720"/>
      </w:tabs>
      <w:spacing w:before="120" w:after="360"/>
    </w:pPr>
    <w:rPr>
      <w:rFonts w:eastAsia="Times New Roman" w:cs="Times New Roman"/>
      <w:b/>
      <w:i/>
      <w:szCs w:val="24"/>
    </w:rPr>
  </w:style>
  <w:style w:type="character" w:customStyle="1" w:styleId="HeaderChar">
    <w:name w:val="Header Char"/>
    <w:basedOn w:val="DefaultParagraphFont"/>
    <w:link w:val="Header"/>
    <w:rsid w:val="00CB6BC7"/>
    <w:rPr>
      <w:rFonts w:eastAsia="Times New Roman" w:cs="Times New Roman"/>
      <w:b/>
      <w:i/>
      <w:szCs w:val="24"/>
    </w:rPr>
  </w:style>
  <w:style w:type="paragraph" w:styleId="Footer">
    <w:name w:val="footer"/>
    <w:basedOn w:val="Normal"/>
    <w:link w:val="FooterChar"/>
    <w:rsid w:val="007121D7"/>
    <w:pPr>
      <w:pBdr>
        <w:top w:val="single" w:sz="8" w:space="1" w:color="auto"/>
      </w:pBdr>
      <w:tabs>
        <w:tab w:val="right" w:pos="9720"/>
      </w:tabs>
      <w:spacing w:before="240" w:after="120" w:line="260" w:lineRule="exact"/>
    </w:pPr>
    <w:rPr>
      <w:b/>
      <w:szCs w:val="20"/>
    </w:rPr>
  </w:style>
  <w:style w:type="character" w:customStyle="1" w:styleId="FooterChar">
    <w:name w:val="Footer Char"/>
    <w:basedOn w:val="DefaultParagraphFont"/>
    <w:link w:val="Footer"/>
    <w:rsid w:val="00CB6BC7"/>
    <w:rPr>
      <w:rFonts w:eastAsia="Times New Roman" w:cs="Times New Roman"/>
      <w:b/>
    </w:rPr>
  </w:style>
  <w:style w:type="paragraph" w:customStyle="1" w:styleId="StdHead">
    <w:name w:val="Std Head"/>
    <w:rsid w:val="007121D7"/>
    <w:pPr>
      <w:pBdr>
        <w:top w:val="single" w:sz="6" w:space="2" w:color="auto"/>
        <w:left w:val="single" w:sz="6" w:space="2" w:color="auto"/>
        <w:bottom w:val="single" w:sz="6" w:space="2" w:color="auto"/>
        <w:right w:val="single" w:sz="6" w:space="2" w:color="auto"/>
      </w:pBdr>
      <w:shd w:val="clear" w:color="auto" w:fill="000000"/>
      <w:spacing w:before="360"/>
    </w:pPr>
    <w:rPr>
      <w:rFonts w:eastAsia="Times New Roman" w:cs="Times New Roman"/>
      <w:b/>
      <w:color w:val="FFFFFF"/>
      <w:sz w:val="22"/>
      <w:szCs w:val="28"/>
    </w:rPr>
  </w:style>
  <w:style w:type="paragraph" w:customStyle="1" w:styleId="TableText">
    <w:name w:val="Table Text"/>
    <w:rsid w:val="007121D7"/>
    <w:pPr>
      <w:spacing w:before="40" w:after="40" w:line="200" w:lineRule="exact"/>
    </w:pPr>
    <w:rPr>
      <w:rFonts w:ascii="Arial Narrow" w:eastAsia="Times New Roman" w:hAnsi="Arial Narrow" w:cs="Times New Roman"/>
      <w:szCs w:val="19"/>
    </w:rPr>
  </w:style>
  <w:style w:type="paragraph" w:customStyle="1" w:styleId="TableHead">
    <w:name w:val="Table Head"/>
    <w:rsid w:val="007121D7"/>
    <w:pPr>
      <w:spacing w:before="40" w:after="40" w:line="200" w:lineRule="exact"/>
      <w:jc w:val="center"/>
    </w:pPr>
    <w:rPr>
      <w:rFonts w:ascii="Arial Narrow" w:eastAsia="Times New Roman" w:hAnsi="Arial Narrow" w:cs="Times New Roman"/>
      <w:b/>
      <w:color w:val="FFFFFF"/>
    </w:rPr>
  </w:style>
  <w:style w:type="paragraph" w:customStyle="1" w:styleId="TableBullet">
    <w:name w:val="Table Bullet"/>
    <w:rsid w:val="007121D7"/>
    <w:pPr>
      <w:numPr>
        <w:numId w:val="3"/>
      </w:numPr>
      <w:tabs>
        <w:tab w:val="clear" w:pos="216"/>
      </w:tabs>
      <w:spacing w:before="40" w:after="40" w:line="200" w:lineRule="exact"/>
      <w:ind w:left="158" w:hanging="158"/>
    </w:pPr>
    <w:rPr>
      <w:rFonts w:ascii="Arial Narrow" w:eastAsia="Times New Roman" w:hAnsi="Arial Narrow" w:cs="Times New Roman"/>
      <w:szCs w:val="24"/>
    </w:rPr>
  </w:style>
  <w:style w:type="paragraph" w:customStyle="1" w:styleId="TableDash">
    <w:name w:val="Table Dash"/>
    <w:rsid w:val="007121D7"/>
    <w:pPr>
      <w:numPr>
        <w:numId w:val="4"/>
      </w:numPr>
      <w:tabs>
        <w:tab w:val="clear" w:pos="432"/>
      </w:tabs>
      <w:ind w:left="374" w:hanging="158"/>
    </w:pPr>
    <w:rPr>
      <w:rFonts w:ascii="Arial Narrow" w:eastAsia="Times New Roman" w:hAnsi="Arial Narrow" w:cs="Times New Roman"/>
      <w:szCs w:val="24"/>
    </w:rPr>
  </w:style>
  <w:style w:type="paragraph" w:customStyle="1" w:styleId="MarginHead">
    <w:name w:val="Margin Head"/>
    <w:rsid w:val="007121D7"/>
    <w:pPr>
      <w:spacing w:before="180"/>
    </w:pPr>
    <w:rPr>
      <w:rFonts w:eastAsia="Times New Roman" w:cs="Times New Roman"/>
      <w:b/>
      <w:sz w:val="22"/>
      <w:szCs w:val="24"/>
    </w:rPr>
  </w:style>
  <w:style w:type="paragraph" w:customStyle="1" w:styleId="MarginSubhead">
    <w:name w:val="Margin Subhead"/>
    <w:rsid w:val="007121D7"/>
    <w:pPr>
      <w:spacing w:before="180"/>
      <w:ind w:left="216"/>
    </w:pPr>
    <w:rPr>
      <w:rFonts w:eastAsia="Times New Roman" w:cs="Times New Roman"/>
      <w:b/>
      <w:szCs w:val="24"/>
    </w:rPr>
  </w:style>
  <w:style w:type="paragraph" w:customStyle="1" w:styleId="SubHead">
    <w:name w:val="Sub Head"/>
    <w:rsid w:val="007121D7"/>
    <w:pPr>
      <w:pBdr>
        <w:bottom w:val="single" w:sz="6" w:space="2" w:color="auto"/>
      </w:pBdr>
      <w:spacing w:before="360"/>
    </w:pPr>
    <w:rPr>
      <w:rFonts w:eastAsia="Times New Roman" w:cs="Times New Roman"/>
      <w:b/>
      <w:sz w:val="22"/>
      <w:szCs w:val="24"/>
    </w:rPr>
  </w:style>
  <w:style w:type="paragraph" w:customStyle="1" w:styleId="ProcessBullet">
    <w:name w:val="Process Bullet"/>
    <w:rsid w:val="007121D7"/>
    <w:pPr>
      <w:numPr>
        <w:numId w:val="5"/>
      </w:numPr>
      <w:spacing w:before="120"/>
    </w:pPr>
    <w:rPr>
      <w:rFonts w:eastAsia="Times New Roman" w:cs="Times New Roman"/>
      <w:szCs w:val="24"/>
    </w:rPr>
  </w:style>
  <w:style w:type="paragraph" w:customStyle="1" w:styleId="ProcessDash">
    <w:name w:val="Process Dash"/>
    <w:rsid w:val="007121D7"/>
    <w:pPr>
      <w:numPr>
        <w:numId w:val="6"/>
      </w:numPr>
      <w:tabs>
        <w:tab w:val="left" w:pos="216"/>
      </w:tabs>
      <w:spacing w:before="60"/>
    </w:pPr>
    <w:rPr>
      <w:rFonts w:eastAsia="Times New Roman" w:cs="Times New Roman"/>
      <w:szCs w:val="24"/>
    </w:rPr>
  </w:style>
  <w:style w:type="paragraph" w:customStyle="1" w:styleId="Note">
    <w:name w:val="Note"/>
    <w:link w:val="NoteChar"/>
    <w:rsid w:val="007121D7"/>
    <w:pPr>
      <w:spacing w:before="120"/>
    </w:pPr>
    <w:rPr>
      <w:rFonts w:eastAsia="Times New Roman" w:cs="Times New Roman"/>
      <w:i/>
      <w:szCs w:val="24"/>
    </w:rPr>
  </w:style>
  <w:style w:type="character" w:customStyle="1" w:styleId="Heading1Char">
    <w:name w:val="Heading 1 Char"/>
    <w:aliases w:val="A Head Char,H1-Sec.Head Char"/>
    <w:basedOn w:val="DefaultParagraphFont"/>
    <w:link w:val="Heading1"/>
    <w:rsid w:val="007121D7"/>
    <w:rPr>
      <w:rFonts w:eastAsia="Times New Roman" w:cs="Times New Roman"/>
      <w:b/>
      <w:bCs/>
      <w:kern w:val="32"/>
      <w:sz w:val="32"/>
      <w:szCs w:val="32"/>
    </w:rPr>
  </w:style>
  <w:style w:type="character" w:customStyle="1" w:styleId="Heading2Char">
    <w:name w:val="Heading 2 Char"/>
    <w:aliases w:val="H2-Sec. Head Char"/>
    <w:basedOn w:val="DefaultParagraphFont"/>
    <w:link w:val="Heading2"/>
    <w:rsid w:val="00860193"/>
    <w:rPr>
      <w:rFonts w:ascii="Times New Roman" w:eastAsia="Times New Roman" w:hAnsi="Times New Roman" w:cs="Times New Roman"/>
      <w:b/>
      <w:bCs/>
      <w:i/>
      <w:sz w:val="28"/>
      <w:szCs w:val="26"/>
    </w:rPr>
  </w:style>
  <w:style w:type="character" w:customStyle="1" w:styleId="Heading4Char">
    <w:name w:val="Heading 4 Char"/>
    <w:basedOn w:val="DefaultParagraphFont"/>
    <w:link w:val="Heading4"/>
    <w:rsid w:val="00CB6BC7"/>
    <w:rPr>
      <w:rFonts w:eastAsia="Times New Roman" w:cs="Times New Roman"/>
      <w:b/>
      <w:szCs w:val="24"/>
    </w:rPr>
  </w:style>
  <w:style w:type="character" w:customStyle="1" w:styleId="Heading5Char">
    <w:name w:val="Heading 5 Char"/>
    <w:basedOn w:val="DefaultParagraphFont"/>
    <w:link w:val="Heading5"/>
    <w:rsid w:val="00CB6BC7"/>
    <w:rPr>
      <w:rFonts w:eastAsia="Times New Roman" w:cs="Times New Roman"/>
      <w:b/>
      <w:bCs/>
      <w:sz w:val="22"/>
      <w:szCs w:val="24"/>
    </w:rPr>
  </w:style>
  <w:style w:type="character" w:customStyle="1" w:styleId="Heading6Char">
    <w:name w:val="Heading 6 Char"/>
    <w:basedOn w:val="DefaultParagraphFont"/>
    <w:link w:val="Heading6"/>
    <w:rsid w:val="00CB6BC7"/>
    <w:rPr>
      <w:rFonts w:eastAsia="Times New Roman" w:cs="Times New Roman"/>
      <w:b/>
      <w:sz w:val="22"/>
      <w:szCs w:val="24"/>
    </w:rPr>
  </w:style>
  <w:style w:type="character" w:customStyle="1" w:styleId="Heading7Char">
    <w:name w:val="Heading 7 Char"/>
    <w:basedOn w:val="DefaultParagraphFont"/>
    <w:link w:val="Heading7"/>
    <w:rsid w:val="00CB6BC7"/>
    <w:rPr>
      <w:rFonts w:eastAsia="Times New Roman" w:cs="Times New Roman"/>
      <w:sz w:val="22"/>
      <w:szCs w:val="24"/>
    </w:rPr>
  </w:style>
  <w:style w:type="character" w:customStyle="1" w:styleId="Heading8Char">
    <w:name w:val="Heading 8 Char"/>
    <w:basedOn w:val="DefaultParagraphFont"/>
    <w:link w:val="Heading8"/>
    <w:rsid w:val="00CB6BC7"/>
    <w:rPr>
      <w:rFonts w:eastAsia="Times New Roman" w:cs="Times New Roman"/>
      <w:b/>
      <w:sz w:val="22"/>
      <w:szCs w:val="24"/>
    </w:rPr>
  </w:style>
  <w:style w:type="character" w:customStyle="1" w:styleId="Heading9Char">
    <w:name w:val="Heading 9 Char"/>
    <w:basedOn w:val="DefaultParagraphFont"/>
    <w:link w:val="Heading9"/>
    <w:rsid w:val="00CB6BC7"/>
    <w:rPr>
      <w:rFonts w:eastAsia="Times New Roman" w:cs="Times New Roman"/>
      <w:b/>
      <w:szCs w:val="24"/>
    </w:rPr>
  </w:style>
  <w:style w:type="paragraph" w:customStyle="1" w:styleId="IndentNormal">
    <w:name w:val="Indent Normal"/>
    <w:basedOn w:val="Normal"/>
    <w:next w:val="Normal"/>
    <w:rsid w:val="00CB6BC7"/>
    <w:pPr>
      <w:spacing w:before="60" w:after="60"/>
    </w:pPr>
    <w:rPr>
      <w:sz w:val="22"/>
    </w:rPr>
  </w:style>
  <w:style w:type="paragraph" w:customStyle="1" w:styleId="TableText2">
    <w:name w:val="Table Text 2"/>
    <w:basedOn w:val="Normal"/>
    <w:rsid w:val="00CB6BC7"/>
    <w:pPr>
      <w:spacing w:before="40" w:after="40" w:line="200" w:lineRule="exact"/>
    </w:pPr>
    <w:rPr>
      <w:rFonts w:ascii="Arial Narrow" w:hAnsi="Arial Narrow"/>
      <w:sz w:val="19"/>
    </w:rPr>
  </w:style>
  <w:style w:type="character" w:styleId="Hyperlink">
    <w:name w:val="Hyperlink"/>
    <w:basedOn w:val="DefaultParagraphFont"/>
    <w:rsid w:val="00CB6BC7"/>
    <w:rPr>
      <w:color w:val="0000FF"/>
      <w:u w:val="single"/>
    </w:rPr>
  </w:style>
  <w:style w:type="character" w:styleId="FollowedHyperlink">
    <w:name w:val="FollowedHyperlink"/>
    <w:basedOn w:val="DefaultParagraphFont"/>
    <w:rsid w:val="00CB6BC7"/>
    <w:rPr>
      <w:color w:val="800080"/>
      <w:u w:val="single"/>
    </w:rPr>
  </w:style>
  <w:style w:type="character" w:styleId="FootnoteReference">
    <w:name w:val="footnote reference"/>
    <w:basedOn w:val="DefaultParagraphFont"/>
    <w:semiHidden/>
    <w:rsid w:val="00CB6BC7"/>
    <w:rPr>
      <w:vertAlign w:val="superscript"/>
    </w:rPr>
  </w:style>
  <w:style w:type="paragraph" w:styleId="FootnoteText">
    <w:name w:val="footnote text"/>
    <w:basedOn w:val="Normal"/>
    <w:link w:val="FootnoteTextChar"/>
    <w:semiHidden/>
    <w:rsid w:val="00CB6BC7"/>
  </w:style>
  <w:style w:type="character" w:customStyle="1" w:styleId="FootnoteTextChar">
    <w:name w:val="Footnote Text Char"/>
    <w:basedOn w:val="DefaultParagraphFont"/>
    <w:link w:val="FootnoteText"/>
    <w:semiHidden/>
    <w:rsid w:val="00CB6BC7"/>
    <w:rPr>
      <w:rFonts w:eastAsia="Times New Roman" w:cs="Times New Roman"/>
      <w:szCs w:val="24"/>
    </w:rPr>
  </w:style>
  <w:style w:type="paragraph" w:styleId="DocumentMap">
    <w:name w:val="Document Map"/>
    <w:basedOn w:val="Normal"/>
    <w:link w:val="DocumentMapChar"/>
    <w:semiHidden/>
    <w:rsid w:val="00CB6BC7"/>
    <w:pPr>
      <w:shd w:val="clear" w:color="auto" w:fill="000080"/>
    </w:pPr>
    <w:rPr>
      <w:rFonts w:ascii="Tahoma" w:hAnsi="Tahoma"/>
    </w:rPr>
  </w:style>
  <w:style w:type="character" w:customStyle="1" w:styleId="DocumentMapChar">
    <w:name w:val="Document Map Char"/>
    <w:basedOn w:val="DefaultParagraphFont"/>
    <w:link w:val="DocumentMap"/>
    <w:semiHidden/>
    <w:rsid w:val="00CB6BC7"/>
    <w:rPr>
      <w:rFonts w:ascii="Tahoma" w:eastAsia="Times New Roman" w:hAnsi="Tahoma" w:cs="Times New Roman"/>
      <w:szCs w:val="24"/>
      <w:shd w:val="clear" w:color="auto" w:fill="000080"/>
    </w:rPr>
  </w:style>
  <w:style w:type="paragraph" w:styleId="Date">
    <w:name w:val="Date"/>
    <w:basedOn w:val="Normal"/>
    <w:next w:val="Normal"/>
    <w:link w:val="DateChar"/>
    <w:rsid w:val="00CB6BC7"/>
  </w:style>
  <w:style w:type="character" w:customStyle="1" w:styleId="DateChar">
    <w:name w:val="Date Char"/>
    <w:basedOn w:val="DefaultParagraphFont"/>
    <w:link w:val="Date"/>
    <w:rsid w:val="00CB6BC7"/>
    <w:rPr>
      <w:rFonts w:eastAsia="Times New Roman" w:cs="Times New Roman"/>
      <w:szCs w:val="24"/>
    </w:rPr>
  </w:style>
  <w:style w:type="paragraph" w:customStyle="1" w:styleId="StdText">
    <w:name w:val="Std Text"/>
    <w:basedOn w:val="Body"/>
    <w:rsid w:val="00CB6BC7"/>
    <w:rPr>
      <w:b/>
    </w:rPr>
  </w:style>
  <w:style w:type="paragraph" w:customStyle="1" w:styleId="SectionHead">
    <w:name w:val="Section Head"/>
    <w:basedOn w:val="Heading1"/>
    <w:rsid w:val="00CB6BC7"/>
    <w:pPr>
      <w:spacing w:after="240"/>
    </w:pPr>
  </w:style>
  <w:style w:type="paragraph" w:customStyle="1" w:styleId="StdTitle">
    <w:name w:val="Std Title"/>
    <w:basedOn w:val="SectionHead"/>
    <w:rsid w:val="00CB6BC7"/>
    <w:pPr>
      <w:tabs>
        <w:tab w:val="right" w:pos="9720"/>
      </w:tabs>
      <w:spacing w:after="0"/>
      <w:jc w:val="left"/>
    </w:pPr>
    <w:rPr>
      <w:sz w:val="28"/>
    </w:rPr>
  </w:style>
  <w:style w:type="paragraph" w:customStyle="1" w:styleId="MainHead">
    <w:name w:val="Main Head"/>
    <w:basedOn w:val="SectionHead"/>
    <w:rsid w:val="00CB6BC7"/>
    <w:pPr>
      <w:keepNext w:val="0"/>
      <w:pBdr>
        <w:bottom w:val="single" w:sz="12" w:space="1" w:color="auto"/>
      </w:pBdr>
      <w:spacing w:before="240" w:after="0"/>
      <w:jc w:val="left"/>
      <w:outlineLvl w:val="2"/>
    </w:pPr>
    <w:rPr>
      <w:sz w:val="24"/>
    </w:rPr>
  </w:style>
  <w:style w:type="paragraph" w:styleId="BalloonText">
    <w:name w:val="Balloon Text"/>
    <w:basedOn w:val="Normal"/>
    <w:link w:val="BalloonTextChar"/>
    <w:semiHidden/>
    <w:rsid w:val="00CB6BC7"/>
    <w:rPr>
      <w:rFonts w:ascii="Tahoma" w:hAnsi="Tahoma" w:cs="Arial Narrow Bold"/>
      <w:sz w:val="16"/>
      <w:szCs w:val="16"/>
    </w:rPr>
  </w:style>
  <w:style w:type="character" w:customStyle="1" w:styleId="BalloonTextChar">
    <w:name w:val="Balloon Text Char"/>
    <w:basedOn w:val="DefaultParagraphFont"/>
    <w:link w:val="BalloonText"/>
    <w:semiHidden/>
    <w:rsid w:val="00CB6BC7"/>
    <w:rPr>
      <w:rFonts w:ascii="Tahoma" w:eastAsia="Times New Roman" w:hAnsi="Tahoma" w:cs="Arial Narrow Bold"/>
      <w:sz w:val="16"/>
      <w:szCs w:val="16"/>
    </w:rPr>
  </w:style>
  <w:style w:type="paragraph" w:customStyle="1" w:styleId="ScoringGuideline">
    <w:name w:val="Scoring Guideline"/>
    <w:basedOn w:val="Heading1"/>
    <w:rsid w:val="00CB6BC7"/>
    <w:pPr>
      <w:spacing w:after="120"/>
    </w:pPr>
    <w:rPr>
      <w:smallCaps/>
    </w:rPr>
  </w:style>
  <w:style w:type="paragraph" w:customStyle="1" w:styleId="StandardTitle">
    <w:name w:val="Standard Title"/>
    <w:basedOn w:val="MainHead"/>
    <w:rsid w:val="00CB6BC7"/>
    <w:pPr>
      <w:pBdr>
        <w:bottom w:val="none" w:sz="0" w:space="0" w:color="auto"/>
      </w:pBdr>
      <w:spacing w:before="0"/>
    </w:pPr>
    <w:rPr>
      <w:sz w:val="28"/>
    </w:rPr>
  </w:style>
  <w:style w:type="paragraph" w:customStyle="1" w:styleId="MoreInfo">
    <w:name w:val="More Info"/>
    <w:basedOn w:val="Normal"/>
    <w:rsid w:val="00CB6BC7"/>
    <w:pPr>
      <w:spacing w:before="240"/>
      <w:jc w:val="center"/>
    </w:pPr>
    <w:rPr>
      <w:b/>
      <w:i/>
      <w:sz w:val="22"/>
    </w:rPr>
  </w:style>
  <w:style w:type="paragraph" w:customStyle="1" w:styleId="IndentBullet">
    <w:name w:val="Indent Bullet"/>
    <w:basedOn w:val="Body"/>
    <w:rsid w:val="00CB6BC7"/>
    <w:pPr>
      <w:tabs>
        <w:tab w:val="num" w:pos="576"/>
      </w:tabs>
      <w:spacing w:before="20" w:after="20"/>
      <w:ind w:left="993" w:hanging="187"/>
    </w:pPr>
  </w:style>
  <w:style w:type="paragraph" w:customStyle="1" w:styleId="ElementNumber">
    <w:name w:val="Element Number"/>
    <w:basedOn w:val="Body"/>
    <w:rsid w:val="00CB6BC7"/>
    <w:pPr>
      <w:ind w:left="720" w:hanging="360"/>
    </w:pPr>
    <w:rPr>
      <w:b/>
    </w:rPr>
  </w:style>
  <w:style w:type="paragraph" w:customStyle="1" w:styleId="Heading">
    <w:name w:val="Heading"/>
    <w:basedOn w:val="Header"/>
    <w:rsid w:val="00CB6BC7"/>
    <w:pPr>
      <w:tabs>
        <w:tab w:val="right" w:pos="9360"/>
      </w:tabs>
    </w:pPr>
  </w:style>
  <w:style w:type="paragraph" w:customStyle="1" w:styleId="AnswerText">
    <w:name w:val="Answer Text"/>
    <w:basedOn w:val="Normal"/>
    <w:rsid w:val="00CB6BC7"/>
    <w:pPr>
      <w:widowControl w:val="0"/>
      <w:tabs>
        <w:tab w:val="left" w:pos="994"/>
        <w:tab w:val="left" w:pos="1627"/>
        <w:tab w:val="left" w:pos="2074"/>
      </w:tabs>
      <w:ind w:left="547"/>
    </w:pPr>
    <w:rPr>
      <w:sz w:val="24"/>
    </w:rPr>
  </w:style>
  <w:style w:type="paragraph" w:customStyle="1" w:styleId="Question">
    <w:name w:val="Question"/>
    <w:basedOn w:val="Normal"/>
    <w:rsid w:val="00CB6BC7"/>
    <w:pPr>
      <w:widowControl w:val="0"/>
      <w:tabs>
        <w:tab w:val="left" w:pos="547"/>
      </w:tabs>
      <w:spacing w:before="240" w:after="120"/>
      <w:ind w:left="547" w:hanging="547"/>
    </w:pPr>
    <w:rPr>
      <w:b/>
      <w:sz w:val="24"/>
    </w:rPr>
  </w:style>
  <w:style w:type="paragraph" w:customStyle="1" w:styleId="QuestionText">
    <w:name w:val="Question Text"/>
    <w:basedOn w:val="Question"/>
    <w:rsid w:val="00CB6BC7"/>
    <w:pPr>
      <w:spacing w:before="120" w:after="0"/>
      <w:ind w:left="0" w:firstLine="0"/>
    </w:pPr>
  </w:style>
  <w:style w:type="paragraph" w:customStyle="1" w:styleId="ColumnHead">
    <w:name w:val="Column Head"/>
    <w:basedOn w:val="Normal"/>
    <w:rsid w:val="00CB6BC7"/>
    <w:pPr>
      <w:pBdr>
        <w:bottom w:val="single" w:sz="12" w:space="1" w:color="auto"/>
      </w:pBdr>
      <w:jc w:val="center"/>
    </w:pPr>
    <w:rPr>
      <w:b/>
      <w:sz w:val="26"/>
    </w:rPr>
  </w:style>
  <w:style w:type="paragraph" w:styleId="BodyText">
    <w:name w:val="Body Text"/>
    <w:basedOn w:val="Normal"/>
    <w:link w:val="BodyTextChar"/>
    <w:rsid w:val="00CB6BC7"/>
    <w:pPr>
      <w:spacing w:before="120" w:after="60"/>
    </w:pPr>
    <w:rPr>
      <w:b/>
    </w:rPr>
  </w:style>
  <w:style w:type="character" w:customStyle="1" w:styleId="BodyTextChar">
    <w:name w:val="Body Text Char"/>
    <w:basedOn w:val="DefaultParagraphFont"/>
    <w:link w:val="BodyText"/>
    <w:rsid w:val="00CB6BC7"/>
    <w:rPr>
      <w:rFonts w:eastAsia="Times New Roman" w:cs="Times New Roman"/>
      <w:b/>
      <w:szCs w:val="24"/>
    </w:rPr>
  </w:style>
  <w:style w:type="paragraph" w:customStyle="1" w:styleId="StyleTableBullet11">
    <w:name w:val="Style Table Bullet + 11"/>
    <w:basedOn w:val="TableBullet"/>
    <w:rsid w:val="00CB6BC7"/>
    <w:pPr>
      <w:numPr>
        <w:numId w:val="0"/>
      </w:numPr>
      <w:spacing w:line="220" w:lineRule="exact"/>
    </w:pPr>
    <w:rPr>
      <w:sz w:val="22"/>
    </w:rPr>
  </w:style>
  <w:style w:type="character" w:styleId="CommentReference">
    <w:name w:val="annotation reference"/>
    <w:basedOn w:val="DefaultParagraphFont"/>
    <w:semiHidden/>
    <w:rsid w:val="00CB6BC7"/>
    <w:rPr>
      <w:sz w:val="16"/>
      <w:szCs w:val="16"/>
    </w:rPr>
  </w:style>
  <w:style w:type="paragraph" w:styleId="CommentText">
    <w:name w:val="annotation text"/>
    <w:basedOn w:val="Normal"/>
    <w:link w:val="CommentTextChar"/>
    <w:semiHidden/>
    <w:rsid w:val="00CB6BC7"/>
    <w:rPr>
      <w:szCs w:val="20"/>
    </w:rPr>
  </w:style>
  <w:style w:type="character" w:customStyle="1" w:styleId="CommentTextChar">
    <w:name w:val="Comment Text Char"/>
    <w:basedOn w:val="DefaultParagraphFont"/>
    <w:link w:val="CommentText"/>
    <w:semiHidden/>
    <w:rsid w:val="00CB6BC7"/>
    <w:rPr>
      <w:rFonts w:eastAsia="Times New Roman" w:cs="Times New Roman"/>
    </w:rPr>
  </w:style>
  <w:style w:type="paragraph" w:styleId="CommentSubject">
    <w:name w:val="annotation subject"/>
    <w:basedOn w:val="CommentText"/>
    <w:next w:val="CommentText"/>
    <w:link w:val="CommentSubjectChar"/>
    <w:semiHidden/>
    <w:rsid w:val="00CB6BC7"/>
    <w:rPr>
      <w:b/>
      <w:bCs/>
    </w:rPr>
  </w:style>
  <w:style w:type="character" w:customStyle="1" w:styleId="CommentSubjectChar">
    <w:name w:val="Comment Subject Char"/>
    <w:basedOn w:val="CommentTextChar"/>
    <w:link w:val="CommentSubject"/>
    <w:semiHidden/>
    <w:rsid w:val="00CB6BC7"/>
    <w:rPr>
      <w:b/>
      <w:bCs/>
    </w:rPr>
  </w:style>
  <w:style w:type="character" w:styleId="PageNumber">
    <w:name w:val="page number"/>
    <w:basedOn w:val="DefaultParagraphFont"/>
    <w:rsid w:val="00CB6BC7"/>
  </w:style>
  <w:style w:type="character" w:customStyle="1" w:styleId="BulletChar">
    <w:name w:val="Bullet Char"/>
    <w:basedOn w:val="DefaultParagraphFont"/>
    <w:link w:val="Bullet"/>
    <w:rsid w:val="00CB6BC7"/>
    <w:rPr>
      <w:rFonts w:eastAsia="Times New Roman" w:cs="Times New Roman"/>
      <w:szCs w:val="24"/>
    </w:rPr>
  </w:style>
  <w:style w:type="character" w:customStyle="1" w:styleId="BodyChar1">
    <w:name w:val="Body Char1"/>
    <w:basedOn w:val="DefaultParagraphFont"/>
    <w:link w:val="Body"/>
    <w:rsid w:val="00CB6BC7"/>
    <w:rPr>
      <w:rFonts w:eastAsia="Times New Roman" w:cs="Times New Roman"/>
      <w:szCs w:val="24"/>
    </w:rPr>
  </w:style>
  <w:style w:type="paragraph" w:customStyle="1" w:styleId="Breakpage">
    <w:name w:val="Break page"/>
    <w:basedOn w:val="Body"/>
    <w:qFormat/>
    <w:rsid w:val="007121D7"/>
    <w:pPr>
      <w:spacing w:before="0"/>
      <w:jc w:val="right"/>
    </w:pPr>
    <w:rPr>
      <w:b/>
      <w:sz w:val="48"/>
    </w:rPr>
  </w:style>
  <w:style w:type="paragraph" w:styleId="EndnoteText">
    <w:name w:val="endnote text"/>
    <w:basedOn w:val="Normal"/>
    <w:link w:val="EndnoteTextChar"/>
    <w:rsid w:val="00860193"/>
    <w:rPr>
      <w:szCs w:val="20"/>
    </w:rPr>
  </w:style>
  <w:style w:type="character" w:customStyle="1" w:styleId="EndnoteTextChar">
    <w:name w:val="Endnote Text Char"/>
    <w:basedOn w:val="DefaultParagraphFont"/>
    <w:link w:val="EndnoteText"/>
    <w:rsid w:val="00860193"/>
    <w:rPr>
      <w:rFonts w:eastAsia="Times New Roman" w:cs="Times New Roman"/>
    </w:rPr>
  </w:style>
  <w:style w:type="paragraph" w:customStyle="1" w:styleId="HEDISSOC">
    <w:name w:val="HEDIS SOC"/>
    <w:basedOn w:val="Heading2"/>
    <w:qFormat/>
    <w:rsid w:val="00A82C61"/>
    <w:pPr>
      <w:pBdr>
        <w:top w:val="single" w:sz="6" w:space="1" w:color="auto"/>
        <w:bottom w:val="single" w:sz="6" w:space="1" w:color="auto"/>
      </w:pBdr>
      <w:spacing w:after="0"/>
      <w:jc w:val="left"/>
    </w:pPr>
    <w:rPr>
      <w:rFonts w:ascii="Arial" w:hAnsi="Arial"/>
      <w:i w:val="0"/>
      <w:smallCaps/>
      <w:sz w:val="22"/>
    </w:rPr>
  </w:style>
  <w:style w:type="paragraph" w:customStyle="1" w:styleId="Memo">
    <w:name w:val="Memo"/>
    <w:basedOn w:val="Body"/>
    <w:rsid w:val="007121D7"/>
    <w:rPr>
      <w:rFonts w:ascii="Times New Roman" w:hAnsi="Times New Roman"/>
      <w:sz w:val="24"/>
    </w:rPr>
  </w:style>
  <w:style w:type="character" w:customStyle="1" w:styleId="NoteChar">
    <w:name w:val="Note Char"/>
    <w:basedOn w:val="DefaultParagraphFont"/>
    <w:link w:val="Note"/>
    <w:rsid w:val="00210150"/>
    <w:rPr>
      <w:rFonts w:eastAsia="Times New Roman" w:cs="Times New Roman"/>
      <w:i/>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Product%20Delivery\Policy\Policies%20&amp;%20Procedures\Word%20Publication%20Templates\HEDIS%20Public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0A119D48BEBA4B876F1F3E60DDB2CE" ma:contentTypeVersion="0" ma:contentTypeDescription="Create a new document." ma:contentTypeScope="" ma:versionID="0926038181960765ccb5e66f97802c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A3BBC-EF55-412D-9E90-30FA84F097A1}">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DACF6D03-EBD6-42BE-A12B-CAD9F141B27C}">
  <ds:schemaRefs>
    <ds:schemaRef ds:uri="http://schemas.microsoft.com/sharepoint/v3/contenttype/forms"/>
  </ds:schemaRefs>
</ds:datastoreItem>
</file>

<file path=customXml/itemProps3.xml><?xml version="1.0" encoding="utf-8"?>
<ds:datastoreItem xmlns:ds="http://schemas.openxmlformats.org/officeDocument/2006/customXml" ds:itemID="{EDD9C74A-97A0-40CA-A266-4B6F98065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023DC9-7602-4CEF-AF02-1A70C41A3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 Publications</Template>
  <TotalTime>30</TotalTime>
  <Pages>3</Pages>
  <Words>6616</Words>
  <Characters>37714</Characters>
  <Application>Microsoft Office Word</Application>
  <DocSecurity>2</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NCQA</Company>
  <LinksUpToDate>false</LinksUpToDate>
  <CharactersWithSpaces>44242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JudyLa</dc:creator>
  <cp:lastModifiedBy>Judy Lacourciere</cp:lastModifiedBy>
  <cp:revision>9</cp:revision>
  <dcterms:created xsi:type="dcterms:W3CDTF">2012-08-13T11:11:00Z</dcterms:created>
  <dcterms:modified xsi:type="dcterms:W3CDTF">2012-08-24T11:21:00Z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0x010100CD0A119D48BEBA4B876F1F3E60DDB2CE</vt:lpwstr>
  </property>
</Properties>
</file>